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82" w:rsidRDefault="002A7FC9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382" w:rsidRDefault="002A7FC9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Plán práce/pracovných činnosti pedagogického klubu na školský rok 2019/2020</w:t>
      </w:r>
    </w:p>
    <w:p w:rsidR="009C7382" w:rsidRDefault="002A7FC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(príloha </w:t>
      </w:r>
      <w:proofErr w:type="spellStart"/>
      <w:r>
        <w:rPr>
          <w:rFonts w:ascii="Times New Roman" w:hAnsi="Times New Roman"/>
          <w:sz w:val="24"/>
          <w:szCs w:val="24"/>
        </w:rPr>
        <w:t>ŽoNFP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W w:w="921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605"/>
        <w:gridCol w:w="4606"/>
      </w:tblGrid>
      <w:tr w:rsidR="009C7382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9C7382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 Zvýšiť </w:t>
            </w:r>
            <w:proofErr w:type="spellStart"/>
            <w:r>
              <w:rPr>
                <w:rFonts w:ascii="Times New Roman" w:hAnsi="Times New Roman"/>
              </w:rPr>
              <w:t>inkluzívnosť</w:t>
            </w:r>
            <w:proofErr w:type="spellEnd"/>
            <w:r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9C7382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Žiadateľ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Základná škola Jána Amosa Komenského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C7382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Kvalitným vzdelávaním k úspešnému poznaniu </w:t>
            </w:r>
          </w:p>
        </w:tc>
      </w:tr>
      <w:tr w:rsidR="009C7382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žiadosti o NFP/identifikátor žiadosti o NFP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Nadpis1"/>
              <w:tabs>
                <w:tab w:val="left" w:pos="4007"/>
              </w:tabs>
              <w:spacing w:before="0" w:after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</w:pPr>
            <w:bookmarkStart w:id="0" w:name="id59"/>
            <w:bookmarkEnd w:id="0"/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  <w:lang w:eastAsia="en-US"/>
              </w:rPr>
              <w:t>NFP312010S164</w:t>
            </w:r>
          </w:p>
          <w:p w:rsidR="009C7382" w:rsidRDefault="009C738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C7382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Názov  pedagogického klubu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bookmarkStart w:id="1" w:name="__DdeLink__2121_1788866281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Pedagogický klub učiteľov 1. stupňa ZŠ - rozvoj </w:t>
            </w:r>
            <w:r>
              <w:rPr>
                <w:rFonts w:ascii="Times New Roman" w:hAnsi="Times New Roman"/>
                <w:sz w:val="24"/>
                <w:szCs w:val="24"/>
              </w:rPr>
              <w:t>čitateľskej gramotnosti</w:t>
            </w:r>
          </w:p>
        </w:tc>
      </w:tr>
      <w:tr w:rsidR="009C7382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členov pedagogického klubu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C7382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Školský rok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2019/2020</w:t>
            </w:r>
          </w:p>
        </w:tc>
      </w:tr>
    </w:tbl>
    <w:p w:rsidR="009C7382" w:rsidRDefault="009C7382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212"/>
      </w:tblGrid>
      <w:tr w:rsidR="009C7382">
        <w:trPr>
          <w:trHeight w:val="1364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111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Zoznam/opis/zameranie a zdôvodnenie plánovaných činností: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382" w:rsidRDefault="009C738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C7382" w:rsidRDefault="002A7FC9">
            <w:pPr>
              <w:tabs>
                <w:tab w:val="left" w:pos="111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Predpokladom pre rozvíjanie čitateľskej gramotnosti žiakov je dostatočná úroveň ich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predčitateľskej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gramotnosti. Učebné osnovy základnej školy predpokladajú, že žiaci, ktorí nastúpia do školy majú aspoň priemernú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predčitateľskú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gramotnosť, ako neodmysliteľný základ pre ďalšie rozvíjanie sa. Reč a jazykové schopnosti mnohých detí sa nevyvíjajú rovnomerne </w:t>
            </w:r>
            <w:r>
              <w:rPr>
                <w:rFonts w:ascii="Times New Roman" w:hAnsi="Times New Roman"/>
                <w:sz w:val="24"/>
                <w:szCs w:val="24"/>
              </w:rPr>
              <w:t>a intaktne. V útlom detstve si deti neosvoja potrebnú slovnú zásobu a jazykový cit. Úroveň prehovoru, pochopenia a porozumenia hovorenej reči je na nízkej úrovni. Z týchto dôvodov zlyháva proces osvojenia si techniky čítania, porozumenia čítaného textu a z</w:t>
            </w:r>
            <w:r>
              <w:rPr>
                <w:rFonts w:ascii="Times New Roman" w:hAnsi="Times New Roman"/>
                <w:sz w:val="24"/>
                <w:szCs w:val="24"/>
              </w:rPr>
              <w:t>ískavania informácií z textu, teda učenia sa a nie je možné plnenie základných cieľov ŠVP a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ŠkVP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 rozvíjanie kľúčových kompetencií v ISCED1. To sú hlavné dôvody zriadenia nášho pedagogického klubu.</w:t>
            </w:r>
          </w:p>
          <w:p w:rsidR="009C7382" w:rsidRDefault="002A7FC9">
            <w:pPr>
              <w:tabs>
                <w:tab w:val="left" w:pos="1114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Stretnutia budú venované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predčitateľskej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gramotnosti a 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 rozvíjaniu, čitateľskej gramotnosti, jednotlivým procesom porozumenia, metódam rozvíjania čitateľskej gramotnosti založeným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metakognícii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 práci s umeleckým a vecným textom. </w:t>
            </w:r>
          </w:p>
          <w:p w:rsidR="009C7382" w:rsidRDefault="002A7FC9">
            <w:pPr>
              <w:tabs>
                <w:tab w:val="left" w:pos="1114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Cieľom pedagogického klubu bude získavanie teoretickej základne, podnety 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prácu so žiakmi do praxe,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workshopy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 diskusia k témam stretnutí. S</w:t>
            </w:r>
          </w:p>
          <w:p w:rsidR="009C7382" w:rsidRDefault="002A7FC9">
            <w:pPr>
              <w:tabs>
                <w:tab w:val="left" w:pos="1114"/>
              </w:tabs>
            </w:pP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Stretnutia budú zamerané na oprávnené činnosti pedagogického klubu: </w:t>
            </w:r>
          </w:p>
          <w:p w:rsidR="009C7382" w:rsidRDefault="002A7FC9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t xml:space="preserve">výmeny skúseností a </w:t>
            </w:r>
            <w:proofErr w:type="spellStart"/>
            <w:r>
              <w:rPr>
                <w:szCs w:val="24"/>
                <w:lang w:val="sk-SK"/>
              </w:rPr>
              <w:t>best</w:t>
            </w:r>
            <w:proofErr w:type="spellEnd"/>
            <w:r>
              <w:rPr>
                <w:szCs w:val="24"/>
                <w:lang w:val="sk-SK"/>
              </w:rPr>
              <w:t xml:space="preserve"> </w:t>
            </w:r>
            <w:proofErr w:type="spellStart"/>
            <w:r>
              <w:rPr>
                <w:szCs w:val="24"/>
                <w:lang w:val="sk-SK"/>
              </w:rPr>
              <w:t>practice</w:t>
            </w:r>
            <w:proofErr w:type="spellEnd"/>
            <w:r>
              <w:rPr>
                <w:szCs w:val="24"/>
                <w:lang w:val="sk-SK"/>
              </w:rPr>
              <w:t xml:space="preserve"> z vlastnej vyučovacej činnosti </w:t>
            </w:r>
          </w:p>
          <w:p w:rsidR="009C7382" w:rsidRDefault="002A7FC9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t xml:space="preserve">prieskumno-analytickej a tvorivej činnosti týkajúca </w:t>
            </w:r>
            <w:r>
              <w:rPr>
                <w:szCs w:val="24"/>
                <w:lang w:val="sk-SK"/>
              </w:rPr>
              <w:t>sa výchovy a vzdelávania a vedúca k jej zlepšeniu a identifikácii osvedčených pedagogických skúseností</w:t>
            </w:r>
          </w:p>
          <w:p w:rsidR="009C7382" w:rsidRDefault="002A7FC9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lastRenderedPageBreak/>
              <w:t>výmeny skúseností pri využívaní  moderných vyučovacích postupov a metód podporujúcich inovácie vo vzdelávaní</w:t>
            </w:r>
          </w:p>
          <w:p w:rsidR="009C7382" w:rsidRDefault="002A7FC9">
            <w:pPr>
              <w:pStyle w:val="Odsekzoznamu1"/>
              <w:numPr>
                <w:ilvl w:val="0"/>
                <w:numId w:val="1"/>
              </w:numPr>
            </w:pPr>
            <w:r>
              <w:rPr>
                <w:szCs w:val="24"/>
                <w:lang w:val="sk-SK"/>
              </w:rPr>
              <w:t xml:space="preserve">výmenu skúseností v oblasti </w:t>
            </w:r>
            <w:proofErr w:type="spellStart"/>
            <w:r>
              <w:rPr>
                <w:szCs w:val="24"/>
                <w:lang w:val="sk-SK"/>
              </w:rPr>
              <w:t>medzipredmetovýc</w:t>
            </w:r>
            <w:r>
              <w:rPr>
                <w:szCs w:val="24"/>
                <w:lang w:val="sk-SK"/>
              </w:rPr>
              <w:t>h</w:t>
            </w:r>
            <w:proofErr w:type="spellEnd"/>
            <w:r>
              <w:rPr>
                <w:szCs w:val="24"/>
                <w:lang w:val="sk-SK"/>
              </w:rPr>
              <w:t xml:space="preserve"> vzťahov</w:t>
            </w:r>
          </w:p>
          <w:p w:rsidR="009C7382" w:rsidRDefault="009C7382">
            <w:pPr>
              <w:pStyle w:val="Odsekzoznamu1"/>
              <w:rPr>
                <w:lang w:val="sk-SK"/>
              </w:rPr>
            </w:pPr>
          </w:p>
          <w:p w:rsidR="009C7382" w:rsidRDefault="002A7FC9" w:rsidP="00D95432">
            <w:pPr>
              <w:pStyle w:val="Odsekzoznamu1"/>
              <w:tabs>
                <w:tab w:val="left" w:pos="1114"/>
              </w:tabs>
            </w:pPr>
            <w:r w:rsidRPr="00D95432">
              <w:rPr>
                <w:szCs w:val="24"/>
                <w:lang w:val="sk-SK"/>
              </w:rPr>
              <w:t xml:space="preserve">Typ pedagogického klubu:  </w:t>
            </w:r>
            <w:r w:rsidRPr="00D95432">
              <w:rPr>
                <w:szCs w:val="24"/>
                <w:lang w:val="sk-SK"/>
              </w:rPr>
              <w:t xml:space="preserve">bez výstupu </w:t>
            </w:r>
          </w:p>
        </w:tc>
      </w:tr>
      <w:tr w:rsidR="009C7382">
        <w:trPr>
          <w:trHeight w:val="132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lastRenderedPageBreak/>
              <w:t>Rámcový program a predbežné termíny  a dĺžka trvania jednotlivých stretnutí:</w:t>
            </w:r>
          </w:p>
          <w:p w:rsidR="009C7382" w:rsidRDefault="009C738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C7382" w:rsidRDefault="009C7382">
      <w:pPr>
        <w:tabs>
          <w:tab w:val="left" w:pos="1114"/>
        </w:tabs>
      </w:pPr>
    </w:p>
    <w:tbl>
      <w:tblPr>
        <w:tblW w:w="9062" w:type="dxa"/>
        <w:tblInd w:w="7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50" w:type="dxa"/>
          <w:right w:w="70" w:type="dxa"/>
        </w:tblCellMar>
        <w:tblLook w:val="00A0" w:firstRow="1" w:lastRow="0" w:firstColumn="1" w:lastColumn="0" w:noHBand="0" w:noVBand="0"/>
      </w:tblPr>
      <w:tblGrid>
        <w:gridCol w:w="1122"/>
        <w:gridCol w:w="1561"/>
        <w:gridCol w:w="1275"/>
        <w:gridCol w:w="2268"/>
        <w:gridCol w:w="2836"/>
      </w:tblGrid>
      <w:tr w:rsidR="009C7382">
        <w:trPr>
          <w:trHeight w:val="300"/>
        </w:trPr>
        <w:tc>
          <w:tcPr>
            <w:tcW w:w="9062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50" w:type="dxa"/>
            </w:tcMar>
            <w:vAlign w:val="bottom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školský rok 2019/2020</w:t>
            </w:r>
          </w:p>
        </w:tc>
      </w:tr>
      <w:tr w:rsidR="009C7382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50" w:type="dxa"/>
            </w:tcMar>
            <w:vAlign w:val="bottom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1.polrok</w:t>
            </w:r>
          </w:p>
        </w:tc>
      </w:tr>
      <w:tr w:rsidR="009C7382">
        <w:trPr>
          <w:trHeight w:val="66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termín stretnutia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 xml:space="preserve">dĺžka trvania </w:t>
            </w: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stretnutia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téma stretnutia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000000" w:fill="D9D9D9"/>
            <w:vAlign w:val="center"/>
          </w:tcPr>
          <w:p w:rsidR="009C7382" w:rsidRDefault="002A7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rámcový program stretnutia</w:t>
            </w:r>
          </w:p>
        </w:tc>
      </w:tr>
      <w:tr w:rsidR="009C7382">
        <w:trPr>
          <w:trHeight w:val="30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30. 9. 2019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Úroveň jazykových schopností žiakov 1. ročníka a ich vplyv žiaka na edukačný proces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1. Oboznámenie s výsledkom diagnostiky úrovne jazykových schopností žiakov 1. ročníka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2. </w:t>
            </w:r>
            <w:r>
              <w:rPr>
                <w:rFonts w:ascii="Times New Roman" w:hAnsi="Times New Roman"/>
                <w:color w:val="000000"/>
                <w:lang w:eastAsia="sk-SK"/>
              </w:rPr>
              <w:t>Prezentácia k téme: Vplyv jazykových schopností žiaka na edukačný proces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 Diskusia</w:t>
            </w:r>
          </w:p>
        </w:tc>
      </w:tr>
      <w:tr w:rsidR="009C7382">
        <w:trPr>
          <w:trHeight w:val="30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28. 10. 2019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Foneticko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– fonologická rovina a návrh aktivít na jej rozvíjanie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1. Teoretické poznatky o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foneticko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– fonologickej rovine a jej dôležitosti pri </w:t>
            </w:r>
            <w:r>
              <w:rPr>
                <w:rFonts w:ascii="Times New Roman" w:hAnsi="Times New Roman"/>
                <w:color w:val="000000"/>
                <w:lang w:eastAsia="sk-SK"/>
              </w:rPr>
              <w:t>osvojovaní si techniky čítania a vplyv na proces písania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 Návrh aktivít na rozvíjanie foneticko-fonologickej roviny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3.Diskusia</w:t>
            </w:r>
          </w:p>
        </w:tc>
      </w:tr>
      <w:tr w:rsidR="009C7382">
        <w:trPr>
          <w:trHeight w:val="30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25. 11. 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Lexikálno-sémantická rovina a návrh aktivít na jej rozvíjanie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hAnsi="Times New Roman"/>
                <w:color w:val="000000"/>
                <w:lang w:eastAsia="sk-SK"/>
              </w:rPr>
              <w:t>1. Teoretické poznatky o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lexikálno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– sémantickej rovine a jej dôležitosti pri porozumení a vyjadrovaní myšlienok. 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2. Návrh aktivít na rozvíjanie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lexikálno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– sémantickej roviny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3.Diskusia</w:t>
            </w:r>
          </w:p>
        </w:tc>
      </w:tr>
      <w:tr w:rsidR="009C7382">
        <w:trPr>
          <w:trHeight w:val="30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16. 12. 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Morfologicko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– syntaktická rovina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1. Teoretické poznatky o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morfologicko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– syntaktickej rovine a jej dôležitosti pri tvorbe a stavbe vety, slovotvorbe a porozumení viet. 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2. Návrh aktivít na rozvíjanie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morfologicko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- syntaktickej roviny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3.Diskusia</w:t>
            </w:r>
          </w:p>
        </w:tc>
      </w:tr>
      <w:tr w:rsidR="009C7382">
        <w:trPr>
          <w:trHeight w:val="30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20. 1. 2020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Pragmatická </w:t>
            </w:r>
            <w:r>
              <w:rPr>
                <w:rFonts w:ascii="Times New Roman" w:hAnsi="Times New Roman"/>
                <w:color w:val="000000"/>
                <w:lang w:eastAsia="sk-SK"/>
              </w:rPr>
              <w:t>rovina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1. Teoretické poznatky o pragmatickej rovine a jej dôležitosti pri reprodukcii </w:t>
            </w:r>
            <w:r>
              <w:rPr>
                <w:rFonts w:ascii="Times New Roman" w:hAnsi="Times New Roman"/>
                <w:color w:val="000000"/>
                <w:lang w:eastAsia="sk-SK"/>
              </w:rPr>
              <w:lastRenderedPageBreak/>
              <w:t>príbehu, schopnosti viesť dialóg a využívať reč na dosiahnutie cieľa.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 Návrh aktivít na rozvíjanie pragmatickej roviny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3.Diskusia</w:t>
            </w:r>
          </w:p>
          <w:p w:rsidR="009C7382" w:rsidRDefault="009C7382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</w:tc>
      </w:tr>
      <w:tr w:rsidR="009C7382">
        <w:trPr>
          <w:trHeight w:val="300"/>
        </w:trPr>
        <w:tc>
          <w:tcPr>
            <w:tcW w:w="9062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50" w:type="dxa"/>
            </w:tcMar>
            <w:vAlign w:val="bottom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lastRenderedPageBreak/>
              <w:t>školský rok 2019/2020</w:t>
            </w:r>
          </w:p>
        </w:tc>
      </w:tr>
      <w:tr w:rsidR="009C7382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000000" w:fill="FFF2CC"/>
            <w:tcMar>
              <w:left w:w="50" w:type="dxa"/>
            </w:tcMar>
            <w:vAlign w:val="bottom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2.polrok</w:t>
            </w:r>
          </w:p>
        </w:tc>
      </w:tr>
      <w:tr w:rsidR="009C7382">
        <w:trPr>
          <w:trHeight w:val="60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por. číslo stretnutia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termín stretnutia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dĺžka trvania stretnutia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téma stretnutia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000000" w:fill="D9D9D9"/>
            <w:vAlign w:val="center"/>
          </w:tcPr>
          <w:p w:rsidR="009C7382" w:rsidRDefault="002A7F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rámcový program stretnutia</w:t>
            </w:r>
          </w:p>
        </w:tc>
      </w:tr>
      <w:tr w:rsidR="009C7382">
        <w:trPr>
          <w:trHeight w:val="30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17. 2. 2020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Rozvíjanie jazykových schopností žiakov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workshop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1. Návrh aktivít členov pedagogického klubu na rozvíjanie jazykových </w:t>
            </w:r>
            <w:r>
              <w:rPr>
                <w:rFonts w:ascii="Times New Roman" w:hAnsi="Times New Roman"/>
                <w:color w:val="000000"/>
                <w:lang w:eastAsia="sk-SK"/>
              </w:rPr>
              <w:t>schopností žiakov v jednotlivých ročníkoch I. stupňa ZŠ aplikovaných do učiva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 Výmena skúseností a postrehov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3.Diskusia</w:t>
            </w:r>
          </w:p>
        </w:tc>
      </w:tr>
      <w:tr w:rsidR="009C7382">
        <w:trPr>
          <w:trHeight w:val="30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30.3.2020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a procesy porozumenia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 1. Čitateľská gramotnosť - teoretické východiská 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2. Praktické </w:t>
            </w:r>
            <w:r>
              <w:rPr>
                <w:rFonts w:ascii="Times New Roman" w:hAnsi="Times New Roman"/>
                <w:color w:val="000000"/>
                <w:lang w:eastAsia="sk-SK"/>
              </w:rPr>
              <w:t>ukážky k jednotlivým procesom porozumenia čítaného umeleckého a vecného textu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 Diskusia</w:t>
            </w:r>
          </w:p>
        </w:tc>
      </w:tr>
      <w:tr w:rsidR="009C7382">
        <w:trPr>
          <w:trHeight w:val="30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27.4.2020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 hodiny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Metódy zisťovania porozumenia textu a príprava úloh a otázok k umeleckému a vecnému textu pre jednotlivé procesy porozumenia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1. Metódy </w:t>
            </w:r>
            <w:r>
              <w:rPr>
                <w:rFonts w:ascii="Times New Roman" w:hAnsi="Times New Roman"/>
                <w:color w:val="000000"/>
                <w:lang w:eastAsia="sk-SK"/>
              </w:rPr>
              <w:t>zisťovania porozumenia textu a metodika prípravy úloh a otázok k 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k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> umeleckému a vecnému textu pre jednotlivé procesy porozumenia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 Tvorba úloh a otázok k textu pre jednotlivé procesy porozumenia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 Diskusia</w:t>
            </w:r>
          </w:p>
        </w:tc>
      </w:tr>
      <w:tr w:rsidR="009C7382">
        <w:trPr>
          <w:trHeight w:val="30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25.5.2020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Metódy rozvíjania 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čitateľskej gramotnosti založené na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metakognícii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1. Metódy rozvíjania čitateľskej gramotnosti založené na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metakognícii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–teoretické východiská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2. Ukážky jednotlivých metód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 Diskusia</w:t>
            </w:r>
          </w:p>
        </w:tc>
      </w:tr>
      <w:tr w:rsidR="009C7382">
        <w:trPr>
          <w:trHeight w:val="300"/>
        </w:trPr>
        <w:tc>
          <w:tcPr>
            <w:tcW w:w="112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15. 6. 2020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 2 hodiny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Metódy: V-CHV-D, DQ3R, Riadené (štruktúrované) čítanie, Párové čítanie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workshop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1. Rozpracovanie metód na konkrétnych textoch v učebniciach v jednotlivých ročníkoch 1. stupňa</w:t>
            </w:r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2. Výmena skúseností a postrehov -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workshop</w:t>
            </w:r>
            <w:proofErr w:type="spellEnd"/>
          </w:p>
          <w:p w:rsidR="009C7382" w:rsidRDefault="002A7FC9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3.Diskusia</w:t>
            </w:r>
          </w:p>
        </w:tc>
      </w:tr>
    </w:tbl>
    <w:p w:rsidR="009C7382" w:rsidRDefault="009C7382">
      <w:pPr>
        <w:tabs>
          <w:tab w:val="left" w:pos="1114"/>
        </w:tabs>
      </w:pP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077"/>
        <w:gridCol w:w="5135"/>
      </w:tblGrid>
      <w:tr w:rsidR="009C7382">
        <w:trPr>
          <w:trHeight w:val="627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Vypracoval (meno, </w:t>
            </w:r>
            <w:r>
              <w:rPr>
                <w:rFonts w:ascii="Times New Roman" w:hAnsi="Times New Roman"/>
              </w:rPr>
              <w:t>priezvisko)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Žaneta </w:t>
            </w:r>
            <w:proofErr w:type="spellStart"/>
            <w:r>
              <w:rPr>
                <w:rFonts w:ascii="Times New Roman" w:hAnsi="Times New Roman"/>
              </w:rPr>
              <w:t>Bakajsová</w:t>
            </w:r>
            <w:proofErr w:type="spellEnd"/>
          </w:p>
        </w:tc>
      </w:tr>
      <w:tr w:rsidR="009C7382">
        <w:trPr>
          <w:trHeight w:val="287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1114"/>
              </w:tabs>
              <w:spacing w:after="0" w:line="240" w:lineRule="auto"/>
            </w:pPr>
            <w:r>
              <w:t>5.11.2018</w:t>
            </w:r>
          </w:p>
        </w:tc>
      </w:tr>
      <w:tr w:rsidR="009C7382">
        <w:trPr>
          <w:trHeight w:val="845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9C7382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9C7382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1114"/>
              </w:tabs>
              <w:spacing w:after="0" w:line="240" w:lineRule="auto"/>
            </w:pPr>
            <w:r>
              <w:t>Mgr. Anna Dinisová</w:t>
            </w:r>
          </w:p>
        </w:tc>
      </w:tr>
      <w:tr w:rsidR="009C7382">
        <w:trPr>
          <w:trHeight w:val="226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tabs>
                <w:tab w:val="left" w:pos="1114"/>
              </w:tabs>
              <w:spacing w:after="0" w:line="240" w:lineRule="auto"/>
            </w:pPr>
            <w:r>
              <w:t>5.11.2018</w:t>
            </w:r>
          </w:p>
        </w:tc>
      </w:tr>
      <w:tr w:rsidR="009C7382">
        <w:trPr>
          <w:trHeight w:val="860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2A7FC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382" w:rsidRDefault="009C7382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9C7382" w:rsidRDefault="009C7382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</w:p>
    <w:p w:rsidR="009C7382" w:rsidRDefault="009C7382">
      <w:pPr>
        <w:tabs>
          <w:tab w:val="left" w:pos="1114"/>
        </w:tabs>
      </w:pPr>
    </w:p>
    <w:sectPr w:rsidR="009C7382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C9" w:rsidRDefault="002A7FC9">
      <w:pPr>
        <w:spacing w:after="0" w:line="240" w:lineRule="auto"/>
      </w:pPr>
      <w:r>
        <w:separator/>
      </w:r>
    </w:p>
  </w:endnote>
  <w:endnote w:type="continuationSeparator" w:id="0">
    <w:p w:rsidR="002A7FC9" w:rsidRDefault="002A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C9" w:rsidRDefault="002A7FC9">
      <w:pPr>
        <w:spacing w:after="0" w:line="240" w:lineRule="auto"/>
      </w:pPr>
      <w:r>
        <w:separator/>
      </w:r>
    </w:p>
  </w:footnote>
  <w:footnote w:type="continuationSeparator" w:id="0">
    <w:p w:rsidR="002A7FC9" w:rsidRDefault="002A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82" w:rsidRDefault="002A7FC9">
    <w:pPr>
      <w:pStyle w:val="Hlavika"/>
    </w:pPr>
    <w:r>
      <w:t xml:space="preserve">                                                                                                                                                       Príloha 1g </w:t>
    </w:r>
    <w:proofErr w:type="spellStart"/>
    <w:r>
      <w:t>ŽoNFP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71769"/>
    <w:multiLevelType w:val="multilevel"/>
    <w:tmpl w:val="9718F35E"/>
    <w:lvl w:ilvl="0">
      <w:start w:val="1"/>
      <w:numFmt w:val="bullet"/>
      <w:lvlText w:val=""/>
      <w:lvlJc w:val="left"/>
      <w:pPr>
        <w:ind w:left="150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9" w:hanging="360"/>
      </w:pPr>
      <w:rPr>
        <w:rFonts w:ascii="Wingdings" w:hAnsi="Wingdings" w:cs="Wingdings" w:hint="default"/>
      </w:rPr>
    </w:lvl>
  </w:abstractNum>
  <w:abstractNum w:abstractNumId="1">
    <w:nsid w:val="608E7DF7"/>
    <w:multiLevelType w:val="multilevel"/>
    <w:tmpl w:val="8C18E5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BA4AE0"/>
    <w:multiLevelType w:val="multilevel"/>
    <w:tmpl w:val="4C0864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382"/>
    <w:rsid w:val="002A7FC9"/>
    <w:rsid w:val="009C7382"/>
    <w:rsid w:val="00D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DD0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cs-CZ" w:eastAsia="cs-CZ"/>
    </w:rPr>
  </w:style>
  <w:style w:type="paragraph" w:styleId="Nadpis9">
    <w:name w:val="heading 9"/>
    <w:basedOn w:val="Normlny"/>
    <w:link w:val="Nadpis9Char"/>
    <w:uiPriority w:val="99"/>
    <w:qFormat/>
    <w:rsid w:val="009202A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D0796E"/>
    <w:rPr>
      <w:rFonts w:ascii="Arial" w:hAnsi="Arial" w:cs="Arial"/>
      <w:b/>
      <w:bCs/>
      <w:sz w:val="32"/>
      <w:szCs w:val="32"/>
      <w:lang w:val="cs-CZ" w:eastAsia="cs-CZ"/>
    </w:rPr>
  </w:style>
  <w:style w:type="character" w:customStyle="1" w:styleId="Nadpis9Char">
    <w:name w:val="Nadpis 9 Char"/>
    <w:link w:val="Nadpis9"/>
    <w:uiPriority w:val="99"/>
    <w:qFormat/>
    <w:locked/>
    <w:rsid w:val="009202AD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B440DB"/>
    <w:rPr>
      <w:rFonts w:ascii="Tahoma" w:hAnsi="Tahoma" w:cs="Tahoma"/>
      <w:sz w:val="16"/>
      <w:szCs w:val="16"/>
    </w:rPr>
  </w:style>
  <w:style w:type="character" w:styleId="Textzstupnhosymbolu">
    <w:name w:val="Placeholder Text"/>
    <w:uiPriority w:val="99"/>
    <w:semiHidden/>
    <w:qFormat/>
    <w:rsid w:val="00DA6ABC"/>
    <w:rPr>
      <w:rFonts w:cs="Times New Roman"/>
      <w:color w:val="808080"/>
    </w:rPr>
  </w:style>
  <w:style w:type="character" w:customStyle="1" w:styleId="tl1">
    <w:name w:val="Štýl1"/>
    <w:uiPriority w:val="99"/>
    <w:qFormat/>
    <w:rsid w:val="002D7F9B"/>
    <w:rPr>
      <w:rFonts w:ascii="Times New Roman" w:hAnsi="Times New Roman" w:cs="Times New Roman"/>
      <w:b/>
      <w:sz w:val="28"/>
    </w:rPr>
  </w:style>
  <w:style w:type="character" w:customStyle="1" w:styleId="TextpoznmkypodiarouChar">
    <w:name w:val="Text poznámky pod čiarou Char"/>
    <w:link w:val="Textpoznmkypodiarou"/>
    <w:uiPriority w:val="99"/>
    <w:semiHidden/>
    <w:qFormat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qFormat/>
    <w:rsid w:val="00CF35D8"/>
    <w:rPr>
      <w:rFonts w:cs="Times New Roman"/>
      <w:vertAlign w:val="superscript"/>
    </w:rPr>
  </w:style>
  <w:style w:type="character" w:styleId="Odkaznakomentr">
    <w:name w:val="annotation reference"/>
    <w:uiPriority w:val="99"/>
    <w:semiHidden/>
    <w:qFormat/>
    <w:rsid w:val="003F33DC"/>
    <w:rPr>
      <w:rFonts w:cs="Times New Roman"/>
      <w:sz w:val="16"/>
      <w:szCs w:val="16"/>
    </w:rPr>
  </w:style>
  <w:style w:type="character" w:customStyle="1" w:styleId="TextkomentraChar">
    <w:name w:val="Text komentára Char"/>
    <w:link w:val="Textkomentra"/>
    <w:uiPriority w:val="99"/>
    <w:semiHidden/>
    <w:qFormat/>
    <w:locked/>
    <w:rsid w:val="003F33DC"/>
    <w:rPr>
      <w:rFonts w:cs="Times New Roman"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qFormat/>
    <w:locked/>
    <w:rsid w:val="003F33DC"/>
    <w:rPr>
      <w:rFonts w:cs="Times New Roman"/>
      <w:b/>
      <w:bCs/>
      <w:sz w:val="20"/>
      <w:szCs w:val="20"/>
    </w:rPr>
  </w:style>
  <w:style w:type="character" w:customStyle="1" w:styleId="HlavikaChar">
    <w:name w:val="Hlavička Char"/>
    <w:link w:val="Hlavika"/>
    <w:uiPriority w:val="99"/>
    <w:qFormat/>
    <w:rsid w:val="006E7C8E"/>
    <w:rPr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qFormat/>
    <w:rsid w:val="006E7C8E"/>
    <w:rPr>
      <w:sz w:val="22"/>
      <w:szCs w:val="22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hAnsi="Times New Roman"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qFormat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qFormat/>
    <w:rsid w:val="00CF35D8"/>
    <w:pPr>
      <w:spacing w:after="0" w:line="240" w:lineRule="auto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qFormat/>
    <w:rsid w:val="00D0796E"/>
    <w:pPr>
      <w:widowControl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slovanzoznam">
    <w:name w:val="List Number"/>
    <w:basedOn w:val="Normlny"/>
    <w:uiPriority w:val="99"/>
    <w:qFormat/>
    <w:rsid w:val="009202AD"/>
    <w:pPr>
      <w:tabs>
        <w:tab w:val="left" w:pos="284"/>
      </w:tabs>
      <w:spacing w:after="0" w:line="240" w:lineRule="auto"/>
      <w:ind w:left="284" w:hanging="284"/>
      <w:jc w:val="both"/>
    </w:pPr>
    <w:rPr>
      <w:rFonts w:ascii="Verdana" w:eastAsia="Times New Roman" w:hAnsi="Verdana"/>
      <w:color w:val="333333"/>
      <w:sz w:val="20"/>
      <w:szCs w:val="24"/>
      <w:lang w:val="en-GB" w:eastAsia="en-GB"/>
    </w:rPr>
  </w:style>
  <w:style w:type="paragraph" w:styleId="Textkomentra">
    <w:name w:val="annotation text"/>
    <w:basedOn w:val="Normlny"/>
    <w:link w:val="TextkomentraChar"/>
    <w:uiPriority w:val="99"/>
    <w:semiHidden/>
    <w:qFormat/>
    <w:rsid w:val="003F33DC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link w:val="PredmetkomentraChar"/>
    <w:uiPriority w:val="99"/>
    <w:semiHidden/>
    <w:qFormat/>
    <w:rsid w:val="003F33DC"/>
    <w:rPr>
      <w:b/>
      <w:bCs/>
    </w:rPr>
  </w:style>
  <w:style w:type="paragraph" w:customStyle="1" w:styleId="Odsekzoznamu1">
    <w:name w:val="Odsek zoznamu1"/>
    <w:basedOn w:val="Normlny"/>
    <w:qFormat/>
    <w:rsid w:val="00BD17B3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6E7C8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6E7C8E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qFormat/>
  </w:style>
  <w:style w:type="paragraph" w:customStyle="1" w:styleId="Nadpistabuky">
    <w:name w:val="Nadpis tabuľky"/>
    <w:basedOn w:val="Obsahtabuky"/>
    <w:qFormat/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F755E-D918-42CD-966A-7FCAD915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HP Compaq 3</cp:lastModifiedBy>
  <cp:revision>2</cp:revision>
  <cp:lastPrinted>2018-11-06T14:05:00Z</cp:lastPrinted>
  <dcterms:created xsi:type="dcterms:W3CDTF">2018-11-06T14:06:00Z</dcterms:created>
  <dcterms:modified xsi:type="dcterms:W3CDTF">2018-11-06T14:06:00Z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