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EE7D6C" w:rsidP="00EE7D6C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9</w:t>
            </w:r>
            <w:r w:rsidR="00152B30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decembra</w:t>
            </w:r>
            <w:r w:rsidR="00152B30">
              <w:rPr>
                <w:rFonts w:eastAsia="Calibri"/>
              </w:rPr>
              <w:t xml:space="preserve"> 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224883">
        <w:trPr>
          <w:trHeight w:val="1743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8C4EC8" w:rsidRDefault="00FD58E6" w:rsidP="00DE6B2A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933"/>
              <w:jc w:val="left"/>
              <w:rPr>
                <w:b/>
              </w:rPr>
            </w:pPr>
            <w:r w:rsidRPr="000E1D14">
              <w:t>Didaktické hry  na hodinách matematiky a prírodovedných predmetov zamerané na zvyšovanie prírodovednej, čitateľskej a matematickej gramotnosti</w:t>
            </w:r>
            <w:r>
              <w:t xml:space="preserve"> </w:t>
            </w:r>
            <w:r w:rsidR="008C4EC8">
              <w:t>Diskusia</w:t>
            </w:r>
          </w:p>
          <w:p w:rsidR="001925F7" w:rsidRDefault="001925F7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8C4EC8">
              <w:t xml:space="preserve">vyučovanie, </w:t>
            </w:r>
            <w:r w:rsidR="00FD58E6">
              <w:t>hra, didaktická hra</w:t>
            </w:r>
            <w:r w:rsidR="009B2B35">
              <w:t xml:space="preserve">, </w:t>
            </w:r>
            <w:r w:rsidR="00A0450A">
              <w:t>prepojenie teórie s praxou</w:t>
            </w:r>
          </w:p>
        </w:tc>
      </w:tr>
      <w:tr w:rsidR="00D559A3" w:rsidRPr="00A0313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FD" w:rsidRDefault="00D559A3" w:rsidP="00B524E7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3E3362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</w:p>
          <w:p w:rsidR="005925FD" w:rsidRDefault="005925FD" w:rsidP="00B524E7">
            <w:pPr>
              <w:spacing w:after="0" w:line="276" w:lineRule="auto"/>
              <w:ind w:left="508" w:firstLine="0"/>
              <w:jc w:val="left"/>
            </w:pPr>
          </w:p>
          <w:p w:rsidR="00194347" w:rsidRDefault="00194347" w:rsidP="00534209">
            <w:pPr>
              <w:pStyle w:val="Odsekzoznamu"/>
              <w:numPr>
                <w:ilvl w:val="0"/>
                <w:numId w:val="13"/>
              </w:numPr>
              <w:tabs>
                <w:tab w:val="center" w:pos="791"/>
                <w:tab w:val="center" w:pos="2258"/>
              </w:tabs>
              <w:spacing w:after="22" w:line="259" w:lineRule="auto"/>
              <w:ind w:left="508"/>
              <w:jc w:val="left"/>
            </w:pPr>
            <w:r w:rsidRPr="000E1D14">
              <w:t>Charakte</w:t>
            </w:r>
            <w:r>
              <w:t xml:space="preserve">ristika </w:t>
            </w:r>
            <w:r w:rsidR="00A0450A">
              <w:t>didaktickej hry</w:t>
            </w:r>
            <w:r w:rsidR="00523C55">
              <w:t xml:space="preserve"> a je</w:t>
            </w:r>
            <w:r w:rsidR="00A0450A">
              <w:t>j</w:t>
            </w:r>
            <w:r w:rsidR="00523C55">
              <w:t xml:space="preserve"> prínos pre edukačný proces.</w:t>
            </w:r>
          </w:p>
          <w:p w:rsidR="00194347" w:rsidRDefault="00194347" w:rsidP="00791C8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CF0F86" w:rsidRPr="00CF0F86" w:rsidRDefault="00CF0F86" w:rsidP="00CF0F86">
            <w:pPr>
              <w:shd w:val="clear" w:color="auto" w:fill="FFFFFF"/>
              <w:spacing w:after="0" w:line="240" w:lineRule="auto"/>
              <w:ind w:left="508" w:firstLine="0"/>
              <w:jc w:val="left"/>
              <w:rPr>
                <w:rFonts w:ascii="ff1" w:hAnsi="ff1" w:cs="Arial"/>
              </w:rPr>
            </w:pPr>
            <w:r w:rsidRPr="00CF0F86">
              <w:rPr>
                <w:rFonts w:ascii="ff1" w:hAnsi="ff1" w:cs="Arial"/>
              </w:rPr>
              <w:t xml:space="preserve">Pod didaktickou hrou rozumieme činnosť žiakov a učiteľa, ktorá sleduje isté didaktické ciele. Žiaci si spravidla tieto ciele neuvedomujú. Motiváciou ich činnosti je radosť z jej vykonávania, súťaživosť, možnosť práce pre prospech tímu, sebarealizácia… Didaktická hra má pravidlá, ktoré organizujú činnosť žiakov. Táto činnosť, jej obsah a pravidlá didaktickej hry vedú k realizácii edukačných cieľov hry. Charakteristické pre didaktickú hru sú vysoká angažovanosť a motivácia žiakov a potešenie z priebehu hravej aktivity. </w:t>
            </w:r>
          </w:p>
          <w:p w:rsidR="0088198B" w:rsidRDefault="00CF0F86" w:rsidP="00CF0F86">
            <w:pPr>
              <w:pStyle w:val="Odsekzoznamu"/>
              <w:tabs>
                <w:tab w:val="center" w:pos="2258"/>
              </w:tabs>
              <w:spacing w:after="22" w:line="259" w:lineRule="auto"/>
              <w:ind w:left="508" w:firstLine="0"/>
              <w:jc w:val="left"/>
            </w:pPr>
            <w:r w:rsidRPr="00CF0F86">
              <w:rPr>
                <w:rFonts w:ascii="ff1" w:hAnsi="ff1" w:cs="Arial"/>
              </w:rPr>
              <w:t xml:space="preserve"> </w:t>
            </w:r>
            <w:r>
              <w:rPr>
                <w:rFonts w:ascii="ff1" w:hAnsi="ff1" w:cs="Arial"/>
              </w:rPr>
              <w:br/>
            </w:r>
            <w:r w:rsidR="0088198B">
              <w:t xml:space="preserve">Štruktúra hry: </w:t>
            </w:r>
          </w:p>
          <w:p w:rsidR="0088198B" w:rsidRDefault="0088198B" w:rsidP="00556064">
            <w:pPr>
              <w:pStyle w:val="Odsekzoznamu"/>
              <w:tabs>
                <w:tab w:val="center" w:pos="2258"/>
              </w:tabs>
              <w:spacing w:after="22" w:line="259" w:lineRule="auto"/>
              <w:ind w:left="868" w:firstLine="0"/>
              <w:jc w:val="left"/>
            </w:pPr>
            <w:r>
              <w:t xml:space="preserve"> </w:t>
            </w:r>
            <w:r w:rsidRPr="0088198B">
              <w:t xml:space="preserve">prostredie hry, </w:t>
            </w:r>
          </w:p>
          <w:p w:rsidR="0088198B" w:rsidRDefault="0088198B" w:rsidP="00556064">
            <w:pPr>
              <w:pStyle w:val="Odsekzoznamu"/>
              <w:tabs>
                <w:tab w:val="center" w:pos="2258"/>
              </w:tabs>
              <w:spacing w:after="22" w:line="259" w:lineRule="auto"/>
              <w:ind w:left="508" w:firstLine="0"/>
              <w:jc w:val="left"/>
            </w:pPr>
            <w:r w:rsidRPr="0088198B">
              <w:t xml:space="preserve">– ciele hry, </w:t>
            </w:r>
          </w:p>
          <w:p w:rsidR="0088198B" w:rsidRDefault="0088198B" w:rsidP="00AC0C9F">
            <w:pPr>
              <w:pStyle w:val="Odsekzoznamu"/>
              <w:tabs>
                <w:tab w:val="center" w:pos="2258"/>
              </w:tabs>
              <w:spacing w:after="22" w:line="259" w:lineRule="auto"/>
              <w:ind w:left="508" w:firstLine="0"/>
              <w:jc w:val="left"/>
            </w:pPr>
            <w:r w:rsidRPr="0088198B">
              <w:t xml:space="preserve">– samotný postup hry, determinovaný pravidlami, </w:t>
            </w:r>
          </w:p>
          <w:p w:rsidR="00486212" w:rsidRDefault="0088198B" w:rsidP="003E3362">
            <w:pPr>
              <w:pStyle w:val="Odsekzoznamu"/>
              <w:tabs>
                <w:tab w:val="center" w:pos="2258"/>
              </w:tabs>
              <w:spacing w:after="22" w:line="259" w:lineRule="auto"/>
              <w:ind w:left="508" w:firstLine="0"/>
              <w:jc w:val="left"/>
            </w:pPr>
            <w:r w:rsidRPr="0088198B">
              <w:t>– záverečné vyhodnotenie hry.</w:t>
            </w:r>
            <w:r w:rsidR="003E3362">
              <w:br/>
            </w:r>
          </w:p>
          <w:p w:rsidR="003E3362" w:rsidRDefault="003E3362" w:rsidP="003E3362">
            <w:pPr>
              <w:pStyle w:val="Odsekzoznamu"/>
              <w:tabs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3E3362" w:rsidRDefault="003E3362" w:rsidP="003E3362">
            <w:pPr>
              <w:pStyle w:val="Odsekzoznamu"/>
              <w:tabs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3E3362" w:rsidRPr="00243984" w:rsidRDefault="003E3362" w:rsidP="003E3362">
            <w:pPr>
              <w:pStyle w:val="Odsekzoznamu"/>
              <w:tabs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6B43CC" w:rsidRDefault="00542E83" w:rsidP="00534209">
            <w:pPr>
              <w:pStyle w:val="Odsekzoznamu"/>
              <w:numPr>
                <w:ilvl w:val="0"/>
                <w:numId w:val="1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508"/>
              <w:jc w:val="left"/>
            </w:pPr>
            <w:r w:rsidRPr="000E1D14">
              <w:lastRenderedPageBreak/>
              <w:t>Rôzne typy hier a možnosti ich využitia v jednotlivých etapách vyučovacieho procesu</w:t>
            </w:r>
            <w:r>
              <w:t>.</w:t>
            </w:r>
            <w:r w:rsidR="00534209">
              <w:br/>
            </w:r>
            <w:r w:rsidR="00534209">
              <w:br/>
            </w:r>
            <w:r w:rsidR="006B43CC">
              <w:t>Námety na hry a ich zaradenie do vyučovania prírodovedných predmetov môžeme nájsť u viacerých autorov:</w:t>
            </w:r>
          </w:p>
          <w:p w:rsidR="00617544" w:rsidRPr="00617544" w:rsidRDefault="00617544" w:rsidP="006B43CC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  <w:rPr>
                <w:b/>
              </w:rPr>
            </w:pPr>
            <w:r w:rsidRPr="00617544">
              <w:rPr>
                <w:b/>
              </w:rPr>
              <w:t>MATEMATIKA</w:t>
            </w:r>
            <w:r w:rsidR="006B43CC" w:rsidRPr="00617544">
              <w:rPr>
                <w:b/>
              </w:rPr>
              <w:t xml:space="preserve"> napr.: </w:t>
            </w:r>
          </w:p>
          <w:p w:rsidR="00617544" w:rsidRDefault="00617544" w:rsidP="00617544">
            <w:pPr>
              <w:pStyle w:val="Odsekzoznamu"/>
              <w:numPr>
                <w:ilvl w:val="0"/>
                <w:numId w:val="1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1217"/>
              <w:jc w:val="left"/>
            </w:pPr>
            <w:r>
              <w:t>KOLBASKÁ, V. Hra ako integračný prostriedok vo vyučovaní matematiky základných škôl. 1. vyd. Bratislava : Metodicko-pedagogické centrum v Bratislave, 2006,</w:t>
            </w:r>
          </w:p>
          <w:p w:rsidR="00617544" w:rsidRDefault="00617544" w:rsidP="00617544">
            <w:pPr>
              <w:pStyle w:val="Odsekzoznamu"/>
              <w:numPr>
                <w:ilvl w:val="0"/>
                <w:numId w:val="1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1217"/>
              <w:jc w:val="left"/>
            </w:pPr>
            <w:r>
              <w:t xml:space="preserve">KRUPKA, P. Matematická didaktická hra a PowerPoint. 2007. [cit. 25. 8. 2010]. Dostupné z: </w:t>
            </w:r>
            <w:hyperlink r:id="rId7" w:history="1">
              <w:r w:rsidRPr="0048146F">
                <w:rPr>
                  <w:rStyle w:val="Hypertextovprepojenie"/>
                </w:rPr>
                <w:t>http://gynome.nmnm.cz/konference/files/2007/sbornik/krupka1.pdf</w:t>
              </w:r>
            </w:hyperlink>
          </w:p>
          <w:p w:rsidR="00617544" w:rsidRDefault="00617544" w:rsidP="00617544">
            <w:pPr>
              <w:pStyle w:val="Odsekzoznamu"/>
              <w:numPr>
                <w:ilvl w:val="0"/>
                <w:numId w:val="1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1217"/>
              <w:jc w:val="left"/>
            </w:pPr>
            <w:r>
              <w:t xml:space="preserve">VANKÚŠ, P. Zbierka didaktických hier určených na integráciu do vyučovania matematiky na druhom stupni základnej školy. Bratislava : 2003, [cit. 31. 12. 2010]. Dostupné z: </w:t>
            </w:r>
            <w:hyperlink r:id="rId8" w:history="1">
              <w:r w:rsidRPr="0048146F">
                <w:rPr>
                  <w:rStyle w:val="Hypertextovprepojenie"/>
                </w:rPr>
                <w:t>http://www.ddm.fmph.uniba.sk/files/vankus/zbierka.pdf</w:t>
              </w:r>
            </w:hyperlink>
          </w:p>
          <w:p w:rsidR="00617544" w:rsidRPr="00617544" w:rsidRDefault="00617544" w:rsidP="006B43CC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  <w:rPr>
                <w:b/>
              </w:rPr>
            </w:pPr>
            <w:r w:rsidRPr="00617544">
              <w:rPr>
                <w:b/>
              </w:rPr>
              <w:t>GEOGRAFIA</w:t>
            </w:r>
            <w:r w:rsidR="006B43CC" w:rsidRPr="00617544">
              <w:rPr>
                <w:b/>
              </w:rPr>
              <w:t xml:space="preserve"> napr. </w:t>
            </w:r>
            <w:r w:rsidRPr="00617544">
              <w:rPr>
                <w:b/>
              </w:rPr>
              <w:t>:</w:t>
            </w:r>
          </w:p>
          <w:p w:rsidR="00617544" w:rsidRDefault="00617544" w:rsidP="00617544">
            <w:pPr>
              <w:pStyle w:val="Odsekzoznamu"/>
              <w:numPr>
                <w:ilvl w:val="0"/>
                <w:numId w:val="14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>
              <w:t>DRAGULOVÁ, A., VINCEJOVÁ, E. Didaktické hry na hodinách zemepisu. 1. vyd. Prešov : Metodicko-pedagogické centrum, 2005. 54 s.</w:t>
            </w:r>
          </w:p>
          <w:p w:rsidR="00617544" w:rsidRDefault="00617544" w:rsidP="00617544">
            <w:pPr>
              <w:pStyle w:val="Odsekzoznamu"/>
              <w:numPr>
                <w:ilvl w:val="0"/>
                <w:numId w:val="14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>
              <w:t xml:space="preserve">BARTOŠOVÁ, L. Vzdelávacie počítačové hry. In 6. ročník </w:t>
            </w:r>
            <w:proofErr w:type="spellStart"/>
            <w:r>
              <w:t>konference</w:t>
            </w:r>
            <w:proofErr w:type="spellEnd"/>
            <w:r>
              <w:t xml:space="preserve"> ALTERNATIVÍ METODY VÝUKY 2008, Praha, 22. 4. 2000. Zborník [on-line]. 2008 [cit. 12. 12. 2010]. Dostupné z: </w:t>
            </w:r>
            <w:hyperlink r:id="rId9" w:history="1">
              <w:r w:rsidRPr="0048146F">
                <w:rPr>
                  <w:rStyle w:val="Hypertextovprepojenie"/>
                </w:rPr>
                <w:t>http://everest.natur.cuni.cz/konference/2008/prispevek/bartosova.pdf</w:t>
              </w:r>
            </w:hyperlink>
          </w:p>
          <w:p w:rsidR="00486212" w:rsidRPr="00486212" w:rsidRDefault="00486212" w:rsidP="006B43CC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  <w:rPr>
                <w:b/>
              </w:rPr>
            </w:pPr>
            <w:r w:rsidRPr="00486212">
              <w:rPr>
                <w:b/>
              </w:rPr>
              <w:t>BIOLÓGIA</w:t>
            </w:r>
            <w:r w:rsidR="006B43CC" w:rsidRPr="00486212">
              <w:rPr>
                <w:b/>
              </w:rPr>
              <w:t xml:space="preserve"> napr.</w:t>
            </w:r>
            <w:r w:rsidRPr="00486212">
              <w:rPr>
                <w:b/>
              </w:rPr>
              <w:t>:</w:t>
            </w:r>
          </w:p>
          <w:p w:rsidR="006B43CC" w:rsidRDefault="00486212" w:rsidP="00486212">
            <w:pPr>
              <w:pStyle w:val="Odsekzoznamu"/>
              <w:numPr>
                <w:ilvl w:val="0"/>
                <w:numId w:val="15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>
              <w:t>HRICOVÁ, I., JAKUBÍKOVÁ, J., TULENKOVÁ, M. Hry a kolektívne úlohy v prírodopise. 1. vyd. Prešov : Metodicko-pedagogické centrum v Prešove, 2003, 58 s. ISBN 80-8045-294-6-4.</w:t>
            </w:r>
          </w:p>
          <w:p w:rsidR="00486212" w:rsidRPr="00875540" w:rsidRDefault="006B43CC" w:rsidP="006B43CC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  <w:rPr>
                <w:b/>
              </w:rPr>
            </w:pPr>
            <w:r>
              <w:t xml:space="preserve"> </w:t>
            </w:r>
            <w:r w:rsidR="00486212" w:rsidRPr="00875540">
              <w:rPr>
                <w:b/>
              </w:rPr>
              <w:t>FYZIKA</w:t>
            </w:r>
            <w:r w:rsidRPr="00875540">
              <w:rPr>
                <w:b/>
              </w:rPr>
              <w:t xml:space="preserve"> napr.</w:t>
            </w:r>
            <w:r w:rsidR="00486212" w:rsidRPr="00875540">
              <w:rPr>
                <w:b/>
              </w:rPr>
              <w:t>:</w:t>
            </w:r>
          </w:p>
          <w:p w:rsidR="00486212" w:rsidRDefault="00486212" w:rsidP="00486212">
            <w:pPr>
              <w:pStyle w:val="Odsekzoznamu"/>
              <w:numPr>
                <w:ilvl w:val="0"/>
                <w:numId w:val="15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>
              <w:t xml:space="preserve">BIZNÁROVÁ, V. Fyzikálna hra pre základné školy „Potápač, In. </w:t>
            </w:r>
            <w:proofErr w:type="spellStart"/>
            <w:r>
              <w:t>Sborník</w:t>
            </w:r>
            <w:proofErr w:type="spellEnd"/>
            <w:r>
              <w:t xml:space="preserve"> z </w:t>
            </w:r>
            <w:proofErr w:type="spellStart"/>
            <w:r>
              <w:t>konference</w:t>
            </w:r>
            <w:proofErr w:type="spellEnd"/>
            <w:r>
              <w:t xml:space="preserve"> </w:t>
            </w:r>
            <w:proofErr w:type="spellStart"/>
            <w:r>
              <w:t>Veletrh</w:t>
            </w:r>
            <w:proofErr w:type="spellEnd"/>
            <w:r>
              <w:t xml:space="preserve"> </w:t>
            </w:r>
            <w:proofErr w:type="spellStart"/>
            <w:r>
              <w:t>nápadů</w:t>
            </w:r>
            <w:proofErr w:type="spellEnd"/>
            <w:r>
              <w:t xml:space="preserve"> </w:t>
            </w:r>
            <w:proofErr w:type="spellStart"/>
            <w:r>
              <w:t>učitelů</w:t>
            </w:r>
            <w:proofErr w:type="spellEnd"/>
            <w:r>
              <w:t xml:space="preserve"> fyziky 8. České Budějovice : </w:t>
            </w:r>
            <w:proofErr w:type="spellStart"/>
            <w:r>
              <w:t>Jihočeská</w:t>
            </w:r>
            <w:proofErr w:type="spellEnd"/>
            <w:r>
              <w:t xml:space="preserve"> </w:t>
            </w:r>
            <w:proofErr w:type="spellStart"/>
            <w:r>
              <w:t>Universita</w:t>
            </w:r>
            <w:proofErr w:type="spellEnd"/>
            <w:r>
              <w:t>, 2003, s. 71–75. ISBN 80-7040-647-X.</w:t>
            </w:r>
          </w:p>
          <w:p w:rsidR="006B43CC" w:rsidRDefault="00486212" w:rsidP="00486212">
            <w:pPr>
              <w:pStyle w:val="Odsekzoznamu"/>
              <w:numPr>
                <w:ilvl w:val="0"/>
                <w:numId w:val="15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>
              <w:t xml:space="preserve">MARENČÁKOÁ, A., KARÁSZOVÁ, V. Tvorivá dielňa: Hry a hračky. In. Zborník príspevkov: zo seminára </w:t>
            </w:r>
            <w:proofErr w:type="spellStart"/>
            <w:r>
              <w:t>Šoltésove</w:t>
            </w:r>
            <w:proofErr w:type="spellEnd"/>
            <w:r>
              <w:t xml:space="preserve"> dni 6.–7. decembra 2006. Knižničné a edičné centrum FMFI UK. Bratislava, 2007, s. 75–80. ISBN 978-80-89186-17-4. 106 s. [cit. 25. 9. 2010] Dostupné tiež z: http://www.skola.sk/podporovane-projekty/ fyzika-okolo-nas/zbornik/zbSolDni06.pdf</w:t>
            </w:r>
            <w:r>
              <w:br/>
            </w:r>
          </w:p>
          <w:p w:rsidR="006B43CC" w:rsidRDefault="006B43CC" w:rsidP="006B43CC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t>Vzdelávacie hry systematicky od r. 1991 rozvíja projekt SCHOLA LUDUS zameraný prednostne na celoživotné neformálne vzdelávanie V rámci SCHOLA LUDUS sú „premyslené i rozvinuté viaceré formy učenia hrou, ktorými žiaci získavajú seriózne skúsenosti, vedomosti, poznatky a zručnosti.(</w:t>
            </w:r>
            <w:proofErr w:type="spellStart"/>
            <w:r>
              <w:t>Teplanová</w:t>
            </w:r>
            <w:proofErr w:type="spellEnd"/>
            <w:r>
              <w:t>, 2007, s. 28) V rámci projektov SCHOLA LUDUS boli vytvorené a v praxi overené fyzikálne vzdelávacie hry Potápač (</w:t>
            </w:r>
            <w:proofErr w:type="spellStart"/>
            <w:r>
              <w:t>Biznárová</w:t>
            </w:r>
            <w:proofErr w:type="spellEnd"/>
            <w:r>
              <w:t>, 2003) a Súboj (</w:t>
            </w:r>
            <w:proofErr w:type="spellStart"/>
            <w:r>
              <w:t>Haverlíková</w:t>
            </w:r>
            <w:proofErr w:type="spellEnd"/>
            <w:r>
              <w:t xml:space="preserve">, 2010). </w:t>
            </w:r>
          </w:p>
          <w:p w:rsidR="006B43CC" w:rsidRDefault="006B43CC" w:rsidP="006B43CC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02470D" w:rsidRDefault="0002470D" w:rsidP="00534209">
            <w:pPr>
              <w:pStyle w:val="Odsekzoznamu"/>
              <w:numPr>
                <w:ilvl w:val="0"/>
                <w:numId w:val="1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508"/>
              <w:jc w:val="left"/>
            </w:pPr>
            <w:r>
              <w:t>Vlastné skúsenosti.</w:t>
            </w:r>
          </w:p>
          <w:p w:rsidR="00556064" w:rsidRDefault="00556064" w:rsidP="00556064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t>Kolegovia používajú tieto hry: pexeso</w:t>
            </w:r>
            <w:r w:rsidR="0075328A">
              <w:t xml:space="preserve"> – precvičovanie značiek, názvov chemických prvkov, laboratórnych pomôcok, fyzikálnych veličín a ich značiek</w:t>
            </w:r>
            <w:r>
              <w:t>,</w:t>
            </w:r>
            <w:r w:rsidR="008E2516">
              <w:t xml:space="preserve"> vlajky štátov, </w:t>
            </w:r>
            <w:r>
              <w:t xml:space="preserve"> </w:t>
            </w:r>
            <w:proofErr w:type="spellStart"/>
            <w:r>
              <w:t>bingo</w:t>
            </w:r>
            <w:proofErr w:type="spellEnd"/>
            <w:r w:rsidR="0075328A">
              <w:t xml:space="preserve"> – počtové operácie</w:t>
            </w:r>
            <w:r>
              <w:t xml:space="preserve">, </w:t>
            </w:r>
            <w:r w:rsidR="0075328A">
              <w:t xml:space="preserve">kartová hra Vojna (väčšia karta berie) – porovnávanie desatinných čísel, </w:t>
            </w:r>
            <w:proofErr w:type="spellStart"/>
            <w:r w:rsidR="0075328A">
              <w:t>osemsmerovky</w:t>
            </w:r>
            <w:proofErr w:type="spellEnd"/>
            <w:r w:rsidR="0075328A">
              <w:t xml:space="preserve"> – názvy minerálnych vôd Slovenska, názvy geografických celkov. Hry používame na zatraktívnenie precvičovania</w:t>
            </w:r>
            <w:r w:rsidR="00F44ED1">
              <w:t xml:space="preserve"> </w:t>
            </w:r>
            <w:r w:rsidR="0075328A">
              <w:t xml:space="preserve"> a opakovania učiva, ktoré je zamerané na zapamätanie si pojmov a vzťahov. Nevýhodou je problém s disciplínou žiakov. </w:t>
            </w:r>
          </w:p>
          <w:p w:rsidR="00FF3231" w:rsidRDefault="00FF3231" w:rsidP="00BA597D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C211B3" w:rsidRPr="00A03133" w:rsidRDefault="00C211B3" w:rsidP="00A0450A">
            <w:pPr>
              <w:pStyle w:val="Odsekzoznamu"/>
              <w:spacing w:line="276" w:lineRule="auto"/>
              <w:ind w:left="508" w:firstLine="0"/>
            </w:pPr>
          </w:p>
        </w:tc>
      </w:tr>
      <w:tr w:rsidR="00224883" w:rsidRPr="00A03133" w:rsidTr="00AB2C22">
        <w:trPr>
          <w:trHeight w:val="265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883" w:rsidRDefault="0022488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4C729B" w:rsidRDefault="004C729B" w:rsidP="0075328A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 xml:space="preserve">Hra je z pohľadu žiakov veľmi obľúbená činnosť. </w:t>
            </w:r>
          </w:p>
          <w:p w:rsidR="004C729B" w:rsidRDefault="004C729B" w:rsidP="0075328A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>Niektorú hru (pexeso) dokážu pripraviť aj samotní žiaci.</w:t>
            </w:r>
          </w:p>
          <w:p w:rsidR="00224883" w:rsidRPr="00A03133" w:rsidRDefault="0075328A" w:rsidP="0075328A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>Na základe našich skúseností odporúčame hry zaradiť  v závere hodiny – 10-15 minút.</w:t>
            </w:r>
          </w:p>
        </w:tc>
      </w:tr>
    </w:tbl>
    <w:p w:rsidR="00003606" w:rsidRDefault="00224883">
      <w:pPr>
        <w:spacing w:after="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0382A" w:rsidRPr="00A03133" w:rsidRDefault="0010382A">
      <w:pPr>
        <w:spacing w:after="0" w:line="259" w:lineRule="auto"/>
        <w:ind w:left="0" w:firstLine="0"/>
      </w:pP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4C729B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4C729B">
              <w:rPr>
                <w:rFonts w:ascii="Calibri" w:eastAsia="Calibri" w:hAnsi="Calibri" w:cs="Calibri"/>
              </w:rPr>
              <w:t>Mgr. Andrea Poláčková</w:t>
            </w:r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0450A" w:rsidP="00A0450A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9</w:t>
            </w:r>
            <w:r w:rsidR="00985A7F">
              <w:rPr>
                <w:rFonts w:ascii="Calibri" w:eastAsia="Calibri" w:hAnsi="Calibri" w:cs="Calibri"/>
              </w:rPr>
              <w:t>. 1</w:t>
            </w:r>
            <w:r>
              <w:rPr>
                <w:rFonts w:ascii="Calibri" w:eastAsia="Calibri" w:hAnsi="Calibri" w:cs="Calibri"/>
              </w:rPr>
              <w:t>2</w:t>
            </w:r>
            <w:r w:rsidR="003F4AD7">
              <w:rPr>
                <w:rFonts w:ascii="Calibri" w:eastAsia="Calibri" w:hAnsi="Calibri" w:cs="Calibri"/>
              </w:rPr>
              <w:t>.</w:t>
            </w:r>
            <w:r w:rsidR="00985A7F">
              <w:rPr>
                <w:rFonts w:ascii="Calibri" w:eastAsia="Calibri" w:hAnsi="Calibri" w:cs="Calibri"/>
              </w:rPr>
              <w:t xml:space="preserve"> 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76A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0450A" w:rsidP="00A0450A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9</w:t>
            </w:r>
            <w:r w:rsidR="00985A7F">
              <w:rPr>
                <w:rFonts w:ascii="Calibri" w:eastAsia="Calibri" w:hAnsi="Calibri" w:cs="Calibri"/>
              </w:rPr>
              <w:t>. 1</w:t>
            </w:r>
            <w:r>
              <w:rPr>
                <w:rFonts w:ascii="Calibri" w:eastAsia="Calibri" w:hAnsi="Calibri" w:cs="Calibri"/>
              </w:rPr>
              <w:t>2</w:t>
            </w:r>
            <w:r w:rsidR="00985A7F">
              <w:rPr>
                <w:rFonts w:ascii="Calibri" w:eastAsia="Calibri" w:hAnsi="Calibri" w:cs="Calibri"/>
              </w:rPr>
              <w:t xml:space="preserve">. 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E2516" w:rsidRDefault="008E2516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F6090E" w:rsidP="00F6090E">
      <w:pPr>
        <w:spacing w:after="309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>P</w:t>
      </w:r>
      <w:r w:rsidR="00AD2A92">
        <w:t xml:space="preserve">ríloha správy o činnosti pedagogického klubu              </w:t>
      </w:r>
      <w:r w:rsidR="00AD2A92"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C01ECB" w:rsidRDefault="00AD2A92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A0450A">
        <w:rPr>
          <w:rFonts w:eastAsia="Calibri"/>
          <w:sz w:val="24"/>
          <w:szCs w:val="24"/>
        </w:rPr>
        <w:t>9</w:t>
      </w:r>
      <w:r w:rsidR="00A27D61">
        <w:rPr>
          <w:rFonts w:eastAsia="Calibri"/>
          <w:sz w:val="24"/>
          <w:szCs w:val="24"/>
        </w:rPr>
        <w:t xml:space="preserve">. </w:t>
      </w:r>
      <w:r w:rsidR="00A0450A">
        <w:rPr>
          <w:rFonts w:eastAsia="Calibri"/>
          <w:sz w:val="24"/>
          <w:szCs w:val="24"/>
        </w:rPr>
        <w:t>decembra</w:t>
      </w:r>
      <w:r w:rsidR="00A27D61">
        <w:rPr>
          <w:rFonts w:eastAsia="Calibri"/>
          <w:sz w:val="24"/>
          <w:szCs w:val="24"/>
        </w:rPr>
        <w:t xml:space="preserve"> 2019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bookmarkStart w:id="0" w:name="_GoBack"/>
      <w:bookmarkEnd w:id="0"/>
    </w:p>
    <w:p w:rsidR="00661EEF" w:rsidRDefault="00661EEF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5788660" cy="3250565"/>
            <wp:effectExtent l="19050" t="0" r="2540" b="0"/>
            <wp:docPr id="1" name="Obrázok 0" descr="IMG_20191209_14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9_1413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EEF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1E7F1CD8"/>
    <w:multiLevelType w:val="hybridMultilevel"/>
    <w:tmpl w:val="6B2ABCF2"/>
    <w:lvl w:ilvl="0" w:tplc="7780D8F2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C3615D"/>
    <w:multiLevelType w:val="hybridMultilevel"/>
    <w:tmpl w:val="A3E8A71E"/>
    <w:lvl w:ilvl="0" w:tplc="041B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4E204D"/>
    <w:multiLevelType w:val="hybridMultilevel"/>
    <w:tmpl w:val="5E36AFEC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3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5DC22936"/>
    <w:multiLevelType w:val="hybridMultilevel"/>
    <w:tmpl w:val="8E24A2CC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5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5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052ED"/>
    <w:rsid w:val="0002470D"/>
    <w:rsid w:val="000C226E"/>
    <w:rsid w:val="0010382A"/>
    <w:rsid w:val="00123564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6222C"/>
    <w:rsid w:val="00177BB9"/>
    <w:rsid w:val="001925F7"/>
    <w:rsid w:val="00194347"/>
    <w:rsid w:val="00224883"/>
    <w:rsid w:val="00233124"/>
    <w:rsid w:val="00243984"/>
    <w:rsid w:val="002478B6"/>
    <w:rsid w:val="00254876"/>
    <w:rsid w:val="00345A12"/>
    <w:rsid w:val="003504ED"/>
    <w:rsid w:val="00372E84"/>
    <w:rsid w:val="00374877"/>
    <w:rsid w:val="00381067"/>
    <w:rsid w:val="00387499"/>
    <w:rsid w:val="00393A7B"/>
    <w:rsid w:val="003A62D8"/>
    <w:rsid w:val="003A76FD"/>
    <w:rsid w:val="003D7145"/>
    <w:rsid w:val="003E3362"/>
    <w:rsid w:val="003E6155"/>
    <w:rsid w:val="003F28BC"/>
    <w:rsid w:val="003F4AD7"/>
    <w:rsid w:val="004046BA"/>
    <w:rsid w:val="0042582E"/>
    <w:rsid w:val="004616B7"/>
    <w:rsid w:val="00466D26"/>
    <w:rsid w:val="00486212"/>
    <w:rsid w:val="004C38A9"/>
    <w:rsid w:val="004C729B"/>
    <w:rsid w:val="004E44DE"/>
    <w:rsid w:val="004F4EBE"/>
    <w:rsid w:val="00522E54"/>
    <w:rsid w:val="00523C55"/>
    <w:rsid w:val="00534209"/>
    <w:rsid w:val="00542E83"/>
    <w:rsid w:val="00556064"/>
    <w:rsid w:val="00583DCD"/>
    <w:rsid w:val="00591E17"/>
    <w:rsid w:val="005925FD"/>
    <w:rsid w:val="005B3D91"/>
    <w:rsid w:val="005E633D"/>
    <w:rsid w:val="005F4F0F"/>
    <w:rsid w:val="00617544"/>
    <w:rsid w:val="006449ED"/>
    <w:rsid w:val="0065440C"/>
    <w:rsid w:val="00661883"/>
    <w:rsid w:val="00661EEF"/>
    <w:rsid w:val="006662D1"/>
    <w:rsid w:val="00677BDB"/>
    <w:rsid w:val="00682903"/>
    <w:rsid w:val="006A584A"/>
    <w:rsid w:val="006B43CC"/>
    <w:rsid w:val="006B7E71"/>
    <w:rsid w:val="006E6A98"/>
    <w:rsid w:val="00717558"/>
    <w:rsid w:val="007357DA"/>
    <w:rsid w:val="0073629D"/>
    <w:rsid w:val="0075328A"/>
    <w:rsid w:val="00774E03"/>
    <w:rsid w:val="00791C87"/>
    <w:rsid w:val="00843F3A"/>
    <w:rsid w:val="00864EF2"/>
    <w:rsid w:val="0086582E"/>
    <w:rsid w:val="00875540"/>
    <w:rsid w:val="0088198B"/>
    <w:rsid w:val="0088270A"/>
    <w:rsid w:val="00886A13"/>
    <w:rsid w:val="00892580"/>
    <w:rsid w:val="008C4EC8"/>
    <w:rsid w:val="008D3B7A"/>
    <w:rsid w:val="008E2516"/>
    <w:rsid w:val="009075F7"/>
    <w:rsid w:val="00946295"/>
    <w:rsid w:val="00953B0F"/>
    <w:rsid w:val="0097335D"/>
    <w:rsid w:val="00985A7F"/>
    <w:rsid w:val="009876AF"/>
    <w:rsid w:val="009A4D60"/>
    <w:rsid w:val="009B2B35"/>
    <w:rsid w:val="009C3E57"/>
    <w:rsid w:val="009C5182"/>
    <w:rsid w:val="00A03133"/>
    <w:rsid w:val="00A0450A"/>
    <w:rsid w:val="00A22BD2"/>
    <w:rsid w:val="00A27D61"/>
    <w:rsid w:val="00A565EB"/>
    <w:rsid w:val="00A66C70"/>
    <w:rsid w:val="00A752D2"/>
    <w:rsid w:val="00A804B2"/>
    <w:rsid w:val="00AB6ABE"/>
    <w:rsid w:val="00AC0C9F"/>
    <w:rsid w:val="00AD2A92"/>
    <w:rsid w:val="00AE11D1"/>
    <w:rsid w:val="00AF308A"/>
    <w:rsid w:val="00B40A16"/>
    <w:rsid w:val="00B4201F"/>
    <w:rsid w:val="00B51280"/>
    <w:rsid w:val="00B524E7"/>
    <w:rsid w:val="00B776AC"/>
    <w:rsid w:val="00B84E8F"/>
    <w:rsid w:val="00B917FA"/>
    <w:rsid w:val="00B92373"/>
    <w:rsid w:val="00BA597D"/>
    <w:rsid w:val="00BD1119"/>
    <w:rsid w:val="00BE46E2"/>
    <w:rsid w:val="00C01ECB"/>
    <w:rsid w:val="00C211B3"/>
    <w:rsid w:val="00C403DE"/>
    <w:rsid w:val="00C96483"/>
    <w:rsid w:val="00CB2721"/>
    <w:rsid w:val="00CD7E99"/>
    <w:rsid w:val="00CF0F86"/>
    <w:rsid w:val="00D032D0"/>
    <w:rsid w:val="00D51A9F"/>
    <w:rsid w:val="00D533F0"/>
    <w:rsid w:val="00D559A3"/>
    <w:rsid w:val="00D82848"/>
    <w:rsid w:val="00D962DB"/>
    <w:rsid w:val="00DE6468"/>
    <w:rsid w:val="00DE6B2A"/>
    <w:rsid w:val="00DE70B7"/>
    <w:rsid w:val="00E17DB4"/>
    <w:rsid w:val="00E515E6"/>
    <w:rsid w:val="00E66CD1"/>
    <w:rsid w:val="00E716B2"/>
    <w:rsid w:val="00E74614"/>
    <w:rsid w:val="00E773E3"/>
    <w:rsid w:val="00ED79A9"/>
    <w:rsid w:val="00EE77A1"/>
    <w:rsid w:val="00EE7D6C"/>
    <w:rsid w:val="00F023BB"/>
    <w:rsid w:val="00F15B0A"/>
    <w:rsid w:val="00F44ED1"/>
    <w:rsid w:val="00F51A30"/>
    <w:rsid w:val="00F6090E"/>
    <w:rsid w:val="00F81957"/>
    <w:rsid w:val="00F95830"/>
    <w:rsid w:val="00FC0D0B"/>
    <w:rsid w:val="00FD58E6"/>
    <w:rsid w:val="00FE260A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  <w:style w:type="character" w:customStyle="1" w:styleId="a">
    <w:name w:val="_"/>
    <w:basedOn w:val="Predvolenpsmoodseku"/>
    <w:rsid w:val="00243984"/>
  </w:style>
  <w:style w:type="character" w:customStyle="1" w:styleId="ff1">
    <w:name w:val="ff1"/>
    <w:basedOn w:val="Predvolenpsmoodseku"/>
    <w:rsid w:val="00243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.fmph.uniba.sk/files/vankus/zbier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ynome.nmnm.cz/konference/files/2007/sbornik/krupka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verest.natur.cuni.cz/konference/2008/prispevek/bartosova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19</cp:revision>
  <cp:lastPrinted>2019-11-28T17:49:00Z</cp:lastPrinted>
  <dcterms:created xsi:type="dcterms:W3CDTF">2019-12-07T11:48:00Z</dcterms:created>
  <dcterms:modified xsi:type="dcterms:W3CDTF">2019-12-27T16:17:00Z</dcterms:modified>
</cp:coreProperties>
</file>