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22DA" w:rsidP="00BB0E08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</w:t>
            </w:r>
            <w:r w:rsidR="00BB0E08">
              <w:rPr>
                <w:rFonts w:eastAsia="Calibri"/>
              </w:rPr>
              <w:t>7</w:t>
            </w:r>
            <w:r w:rsidR="00152B30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február</w:t>
            </w:r>
            <w:r w:rsidR="00152B30">
              <w:rPr>
                <w:rFonts w:eastAsia="Calibri"/>
              </w:rPr>
              <w:t xml:space="preserve"> 20</w:t>
            </w:r>
            <w:r w:rsidR="00732B96">
              <w:rPr>
                <w:rFonts w:eastAsia="Calibri"/>
              </w:rPr>
              <w:t>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224883">
        <w:trPr>
          <w:trHeight w:val="1743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787B8C">
              <w:br/>
            </w:r>
          </w:p>
          <w:p w:rsidR="00732B96" w:rsidRDefault="00BB0E08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  <w:r w:rsidRPr="000E1D14">
              <w:t>Motivačné úlohy z histórie zamerané na zvyšovanie prírodovednej, čitateľskej a matematickej gramotnosti</w:t>
            </w:r>
            <w:r>
              <w:rPr>
                <w:b/>
              </w:rPr>
              <w:t xml:space="preserve"> </w:t>
            </w:r>
          </w:p>
          <w:p w:rsidR="00BB0E08" w:rsidRDefault="00BB0E08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</w:p>
          <w:p w:rsidR="001925F7" w:rsidRDefault="001925F7" w:rsidP="00BB0E08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</w:t>
            </w:r>
            <w:r w:rsidR="00BB0E08">
              <w:t>motivácia, história matematiky, učenci a prínosy ich objavov</w:t>
            </w:r>
            <w:r w:rsidR="00D80128">
              <w:t xml:space="preserve"> </w:t>
            </w:r>
          </w:p>
        </w:tc>
      </w:tr>
      <w:tr w:rsidR="00D559A3" w:rsidRPr="00A03133" w:rsidTr="009C06F0">
        <w:trPr>
          <w:trHeight w:val="689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FD" w:rsidRDefault="00D559A3" w:rsidP="00B524E7">
            <w:pPr>
              <w:spacing w:after="0" w:line="276" w:lineRule="auto"/>
              <w:ind w:left="508" w:firstLine="0"/>
              <w:jc w:val="left"/>
            </w:pPr>
            <w:r w:rsidRPr="00A03133">
              <w:t xml:space="preserve">     </w:t>
            </w:r>
            <w:r w:rsidR="00F51A30" w:rsidRPr="00A03133">
              <w:br/>
            </w:r>
            <w:r w:rsidRPr="00A03133">
              <w:t xml:space="preserve"> 12.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  <w:r w:rsidRPr="00A03133">
              <w:rPr>
                <w:b/>
              </w:rPr>
              <w:t>Hlavné body, témy stretnutia, zhrnutie priebehu stretnutia:</w:t>
            </w:r>
            <w:r w:rsidRPr="00A03133">
              <w:t xml:space="preserve">  </w:t>
            </w:r>
          </w:p>
          <w:p w:rsidR="00787B8C" w:rsidRDefault="00787B8C" w:rsidP="00B524E7">
            <w:pPr>
              <w:spacing w:after="0" w:line="276" w:lineRule="auto"/>
              <w:ind w:left="508" w:firstLine="0"/>
              <w:jc w:val="left"/>
            </w:pPr>
          </w:p>
          <w:p w:rsidR="002D35CD" w:rsidRDefault="002D35CD" w:rsidP="002D35CD">
            <w:pPr>
              <w:pStyle w:val="Odsekzoznamu"/>
              <w:spacing w:after="0" w:line="276" w:lineRule="auto"/>
              <w:ind w:left="933" w:firstLine="0"/>
              <w:jc w:val="left"/>
            </w:pPr>
            <w:r>
              <w:t>Zaujímavosti a ú</w:t>
            </w:r>
            <w:r w:rsidRPr="00E55A6A">
              <w:t xml:space="preserve">lohy z histórie </w:t>
            </w:r>
            <w:r w:rsidRPr="0067379E">
              <w:t xml:space="preserve">vo vyučovaní matematiky a prírodovedných </w:t>
            </w:r>
            <w:r>
              <w:t>predmetov.</w:t>
            </w:r>
          </w:p>
          <w:p w:rsidR="002D35CD" w:rsidRDefault="002D35CD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6B1B69" w:rsidRDefault="006B1B69" w:rsidP="002D35CD">
            <w:pPr>
              <w:spacing w:after="0" w:line="276" w:lineRule="auto"/>
              <w:ind w:left="868" w:firstLine="0"/>
              <w:jc w:val="left"/>
            </w:pPr>
            <w:r>
              <w:t>Základom  pochopenia vzťahov  a zákonitostí  v každej vednej disciplíne  je poznanie jej histórie. V každej vednej disciplíne bolo určité historické obdobie, kedy nebola považovaná za vednú disciplínu. Musela prejsť určitým historickým vývojom.</w:t>
            </w:r>
            <w:r w:rsidR="00B366BB">
              <w:t xml:space="preserve"> Vo  tomto vývoji hrali veľmi dôležitú úlohu geniálne osobnosti, ktoré ich výsledkami svojej práce posunuli vpred. Okolnosti veľkých  vedeckých  poznatkov, metódy výskumu, myšlienkové pochody objaviteľova zaujímavosti z ich života sú  vhodným spestrením každej hodiny.</w:t>
            </w:r>
          </w:p>
          <w:p w:rsidR="002D35CD" w:rsidRDefault="002D35CD" w:rsidP="002D35CD">
            <w:pPr>
              <w:spacing w:after="0" w:line="276" w:lineRule="auto"/>
              <w:ind w:left="868" w:firstLine="0"/>
              <w:jc w:val="left"/>
            </w:pPr>
          </w:p>
          <w:p w:rsidR="002D35CD" w:rsidRDefault="002D35CD" w:rsidP="002D35CD">
            <w:pPr>
              <w:spacing w:after="0" w:line="276" w:lineRule="auto"/>
              <w:ind w:left="868" w:firstLine="0"/>
              <w:jc w:val="left"/>
            </w:pPr>
            <w:r>
              <w:t xml:space="preserve">Vyučujúci diskutovali o vlastných skúsenostiach  s využívaním  zaujímavostí z histórie  na svojich hodinách: </w:t>
            </w:r>
          </w:p>
          <w:p w:rsidR="002D35CD" w:rsidRDefault="002D35CD" w:rsidP="002D35CD">
            <w:pPr>
              <w:pStyle w:val="Odsekzoznamu"/>
              <w:numPr>
                <w:ilvl w:val="0"/>
                <w:numId w:val="19"/>
              </w:numPr>
              <w:spacing w:after="0" w:line="276" w:lineRule="auto"/>
              <w:jc w:val="left"/>
            </w:pPr>
            <w:r>
              <w:t xml:space="preserve">V matematike to napríklad  </w:t>
            </w:r>
            <w:proofErr w:type="spellStart"/>
            <w:r>
              <w:t>Eratostenovo</w:t>
            </w:r>
            <w:proofErr w:type="spellEnd"/>
            <w:r>
              <w:t xml:space="preserve"> sito na určovanie prvočísel, historické súvislosti s objavmi  Pytagora – 100 volov (P. </w:t>
            </w:r>
            <w:proofErr w:type="spellStart"/>
            <w:r>
              <w:t>Bero</w:t>
            </w:r>
            <w:proofErr w:type="spellEnd"/>
            <w:r>
              <w:t>,  1989:  Matematici, ja a ty), ....</w:t>
            </w:r>
          </w:p>
          <w:p w:rsidR="00E95698" w:rsidRDefault="002D35CD" w:rsidP="00E95698">
            <w:pPr>
              <w:pStyle w:val="Odsekzoznamu"/>
              <w:numPr>
                <w:ilvl w:val="0"/>
                <w:numId w:val="19"/>
              </w:numPr>
              <w:spacing w:after="0" w:line="276" w:lineRule="auto"/>
              <w:ind w:right="301"/>
              <w:jc w:val="left"/>
            </w:pPr>
            <w:r>
              <w:t>V prírodovedných predmetoch ponúkajú životopisy vedcov množstvo podnetných informácií a úloh k zamysleniu. Materiály sú vo veľkej miere dostupné na internete.</w:t>
            </w:r>
            <w:r w:rsidR="00E95698">
              <w:br/>
              <w:t xml:space="preserve">( napr. </w:t>
            </w:r>
          </w:p>
          <w:p w:rsidR="002D35CD" w:rsidRDefault="00772D84" w:rsidP="00E95698">
            <w:pPr>
              <w:pStyle w:val="Odsekzoznamu"/>
              <w:spacing w:after="0" w:line="276" w:lineRule="auto"/>
              <w:ind w:left="1217" w:right="301" w:firstLine="0"/>
              <w:jc w:val="left"/>
            </w:pPr>
            <w:hyperlink r:id="rId7" w:history="1">
              <w:r w:rsidR="00E95698">
                <w:rPr>
                  <w:rStyle w:val="Hypertextovprepojenie"/>
                  <w:rFonts w:eastAsia="Arial"/>
                </w:rPr>
                <w:t>https://docplayer.cz/566619-Zivoty-fyziku-v-ulohach-a-experimentech.html</w:t>
              </w:r>
            </w:hyperlink>
            <w:r w:rsidR="00E95698">
              <w:rPr>
                <w:rStyle w:val="Hypertextovprepojenie"/>
                <w:rFonts w:eastAsia="Arial"/>
              </w:rPr>
              <w:t xml:space="preserve"> </w:t>
            </w:r>
            <w:r w:rsidR="00E95698">
              <w:t>)</w:t>
            </w:r>
          </w:p>
          <w:p w:rsidR="00E95698" w:rsidRDefault="00E95698" w:rsidP="002D35CD">
            <w:pPr>
              <w:pStyle w:val="Odsekzoznamu"/>
              <w:numPr>
                <w:ilvl w:val="0"/>
                <w:numId w:val="19"/>
              </w:numPr>
              <w:spacing w:after="0" w:line="276" w:lineRule="auto"/>
              <w:jc w:val="left"/>
            </w:pPr>
            <w:r>
              <w:lastRenderedPageBreak/>
              <w:t>V prírodovedných predmetoch na niektorých hodinách napodobňujeme spôsoby práce prírodovedcov – napríklad zostrojenie Celziovej stupnice na meranie teploty,....</w:t>
            </w:r>
          </w:p>
          <w:p w:rsidR="00E95698" w:rsidRDefault="00E95698" w:rsidP="002D35CD">
            <w:pPr>
              <w:pStyle w:val="Odsekzoznamu"/>
              <w:numPr>
                <w:ilvl w:val="0"/>
                <w:numId w:val="19"/>
              </w:numPr>
              <w:spacing w:after="0" w:line="276" w:lineRule="auto"/>
              <w:jc w:val="left"/>
            </w:pPr>
            <w:r>
              <w:t>Vo všetkých predmetoch žiaci spracovávajú historické zaujímavosti formou referátov (</w:t>
            </w:r>
            <w:proofErr w:type="spellStart"/>
            <w:r>
              <w:t>ppt</w:t>
            </w:r>
            <w:proofErr w:type="spellEnd"/>
            <w:r>
              <w:t xml:space="preserve">, </w:t>
            </w:r>
            <w:proofErr w:type="spellStart"/>
            <w:r>
              <w:t>word</w:t>
            </w:r>
            <w:proofErr w:type="spellEnd"/>
            <w:r>
              <w:t>, video) s ktorými oboznamujú svojich spolužiakov na hodinách.</w:t>
            </w:r>
          </w:p>
          <w:p w:rsidR="00E95698" w:rsidRDefault="00E95698" w:rsidP="002D35CD">
            <w:pPr>
              <w:pStyle w:val="Odsekzoznamu"/>
              <w:numPr>
                <w:ilvl w:val="0"/>
                <w:numId w:val="19"/>
              </w:numPr>
              <w:spacing w:after="0" w:line="276" w:lineRule="auto"/>
              <w:jc w:val="left"/>
            </w:pPr>
            <w:r>
              <w:t xml:space="preserve">Vhodným miestom na priblíženie historických zaujímavostí sú nástenky na chodbách školy. </w:t>
            </w:r>
          </w:p>
          <w:p w:rsidR="00D80128" w:rsidRPr="00A03133" w:rsidRDefault="00D80128" w:rsidP="00E95698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224883" w:rsidRPr="00A03133" w:rsidTr="00AB2C22">
        <w:trPr>
          <w:trHeight w:val="2656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883" w:rsidRDefault="00224883" w:rsidP="001561B4">
            <w:pPr>
              <w:spacing w:after="0" w:line="276" w:lineRule="auto"/>
              <w:ind w:left="0" w:right="301" w:firstLine="360"/>
              <w:jc w:val="left"/>
            </w:pPr>
            <w:r w:rsidRPr="00A03133">
              <w:lastRenderedPageBreak/>
              <w:t>13.</w:t>
            </w:r>
            <w:r w:rsidRPr="00A03133">
              <w:rPr>
                <w:b/>
              </w:rPr>
              <w:t xml:space="preserve"> Závery a odporúčania: </w:t>
            </w:r>
            <w:r w:rsidRPr="00A03133">
              <w:t xml:space="preserve"> </w:t>
            </w:r>
          </w:p>
          <w:p w:rsidR="000A526B" w:rsidRDefault="000A526B" w:rsidP="000A526B">
            <w:pPr>
              <w:spacing w:after="0" w:line="276" w:lineRule="auto"/>
              <w:ind w:left="868" w:firstLine="0"/>
              <w:jc w:val="left"/>
            </w:pPr>
            <w:r>
              <w:t xml:space="preserve">Členovia klubu  sa po vzájomnej výmene skúseností zhodli na tom, že nezastupiteľnú motivačnú i aktivizujúcu úlohu vo vyučovaní majú úlohy čerpajúce z histórie. Možno ich zaradiť do ľubovoľnej fázy vyučovacej hodiny.  </w:t>
            </w:r>
            <w:r w:rsidR="002D35CD">
              <w:t>Na internete je dostupné veľké množstvo materiálov k tejto téme.</w:t>
            </w:r>
          </w:p>
          <w:p w:rsidR="000A526B" w:rsidRDefault="000A526B" w:rsidP="000A526B">
            <w:pPr>
              <w:spacing w:after="0" w:line="276" w:lineRule="auto"/>
              <w:jc w:val="left"/>
            </w:pPr>
            <w:r>
              <w:t xml:space="preserve">  </w:t>
            </w:r>
          </w:p>
          <w:p w:rsidR="006D0BE6" w:rsidRPr="00A03133" w:rsidRDefault="006D0BE6" w:rsidP="00E95698">
            <w:pPr>
              <w:pStyle w:val="Odsekzoznamu"/>
              <w:spacing w:after="0" w:line="276" w:lineRule="auto"/>
              <w:ind w:left="726" w:right="301" w:firstLine="0"/>
              <w:jc w:val="left"/>
            </w:pPr>
            <w:bookmarkStart w:id="0" w:name="_GoBack"/>
            <w:bookmarkEnd w:id="0"/>
          </w:p>
        </w:tc>
      </w:tr>
    </w:tbl>
    <w:p w:rsidR="00003606" w:rsidRDefault="00224883">
      <w:pPr>
        <w:spacing w:after="0"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0382A" w:rsidRDefault="0010382A">
      <w:pPr>
        <w:spacing w:after="0" w:line="259" w:lineRule="auto"/>
        <w:ind w:left="0" w:firstLine="0"/>
      </w:pPr>
    </w:p>
    <w:p w:rsidR="00F62748" w:rsidRPr="00A03133" w:rsidRDefault="00F62748">
      <w:pPr>
        <w:spacing w:after="0" w:line="259" w:lineRule="auto"/>
        <w:ind w:left="0" w:firstLine="0"/>
      </w:pP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 w:rsidRPr="00A03133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14.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</w:pPr>
            <w:r w:rsidRPr="00A03133"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272103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15.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781558" w:rsidP="00DD35CE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 w:rsidR="00DD35CE">
              <w:rPr>
                <w:rFonts w:ascii="Calibri" w:eastAsia="Calibri" w:hAnsi="Calibri" w:cs="Calibri"/>
              </w:rPr>
              <w:t>7</w:t>
            </w:r>
            <w:r w:rsidR="00985A7F">
              <w:rPr>
                <w:rFonts w:ascii="Calibri" w:eastAsia="Calibri" w:hAnsi="Calibri" w:cs="Calibri"/>
              </w:rPr>
              <w:t xml:space="preserve">. </w:t>
            </w:r>
            <w:r w:rsidR="009A064E">
              <w:rPr>
                <w:rFonts w:ascii="Calibri" w:eastAsia="Calibri" w:hAnsi="Calibri" w:cs="Calibri"/>
              </w:rPr>
              <w:t>02</w:t>
            </w:r>
            <w:r w:rsidR="003F4AD7">
              <w:rPr>
                <w:rFonts w:ascii="Calibri" w:eastAsia="Calibri" w:hAnsi="Calibri" w:cs="Calibri"/>
              </w:rPr>
              <w:t>.</w:t>
            </w:r>
            <w:r w:rsidR="00985A7F">
              <w:rPr>
                <w:rFonts w:ascii="Calibri" w:eastAsia="Calibri" w:hAnsi="Calibri" w:cs="Calibri"/>
              </w:rPr>
              <w:t xml:space="preserve"> </w:t>
            </w:r>
            <w:r w:rsidR="009876AF" w:rsidRPr="00A03133">
              <w:rPr>
                <w:rFonts w:ascii="Calibri" w:eastAsia="Calibri" w:hAnsi="Calibri" w:cs="Calibri"/>
              </w:rPr>
              <w:t>20</w:t>
            </w:r>
            <w:r w:rsidR="00D80128">
              <w:rPr>
                <w:rFonts w:ascii="Calibri" w:eastAsia="Calibri" w:hAnsi="Calibri" w:cs="Calibri"/>
              </w:rPr>
              <w:t>20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16.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17.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876AF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18.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A064E" w:rsidP="00DD35CE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 w:rsidR="00DD35CE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 xml:space="preserve">. 02. </w:t>
            </w:r>
            <w:r w:rsidRPr="00A03133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19.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0382A" w:rsidRDefault="0010382A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Pr="00A03133" w:rsidRDefault="00AD2A92" w:rsidP="00F6090E">
      <w:pPr>
        <w:spacing w:after="25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b/>
        </w:rPr>
        <w:t xml:space="preserve">Príloha: </w:t>
      </w:r>
      <w:r w:rsidRPr="00A03133">
        <w:t>Prezenčná listina zo stretnutia pedagogického klubu</w:t>
      </w:r>
      <w:r w:rsidRPr="00A03133">
        <w:rPr>
          <w:rFonts w:ascii="Calibri" w:eastAsia="Calibri" w:hAnsi="Calibri" w:cs="Calibri"/>
        </w:rPr>
        <w:t xml:space="preserve"> </w:t>
      </w: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F6090E" w:rsidP="00F6090E">
      <w:pPr>
        <w:spacing w:after="309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>P</w:t>
      </w:r>
      <w:r w:rsidR="00AD2A92">
        <w:t xml:space="preserve">ríloha správy o činnosti pedagogického klubu              </w:t>
      </w:r>
      <w:r w:rsidR="00AD2A92"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 w:rsidTr="00B40A16">
        <w:trPr>
          <w:trHeight w:val="3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 w:rsidTr="00B40A16">
        <w:trPr>
          <w:trHeight w:val="31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D80128" w:rsidRDefault="00AD2A92">
      <w:pPr>
        <w:spacing w:after="218" w:line="259" w:lineRule="auto"/>
        <w:ind w:left="-5" w:hanging="10"/>
        <w:jc w:val="left"/>
        <w:rPr>
          <w:rFonts w:eastAsia="Calibri"/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D80128" w:rsidRPr="00D80128">
        <w:rPr>
          <w:rFonts w:eastAsia="Calibri"/>
          <w:sz w:val="24"/>
          <w:szCs w:val="24"/>
        </w:rPr>
        <w:t>1</w:t>
      </w:r>
      <w:r w:rsidR="00DD35CE">
        <w:rPr>
          <w:rFonts w:eastAsia="Calibri"/>
          <w:sz w:val="24"/>
          <w:szCs w:val="24"/>
        </w:rPr>
        <w:t>7</w:t>
      </w:r>
      <w:r w:rsidR="00D80128" w:rsidRPr="00D80128">
        <w:rPr>
          <w:rFonts w:eastAsia="Calibri"/>
          <w:sz w:val="24"/>
          <w:szCs w:val="24"/>
        </w:rPr>
        <w:t xml:space="preserve">. </w:t>
      </w:r>
      <w:r w:rsidR="009A064E">
        <w:rPr>
          <w:rFonts w:eastAsia="Calibri"/>
          <w:sz w:val="24"/>
          <w:szCs w:val="24"/>
        </w:rPr>
        <w:t>február</w:t>
      </w:r>
      <w:r w:rsidR="00D80128" w:rsidRPr="00D80128">
        <w:rPr>
          <w:rFonts w:eastAsia="Calibri"/>
          <w:sz w:val="24"/>
          <w:szCs w:val="24"/>
        </w:rPr>
        <w:t xml:space="preserve"> 2020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14,00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Default="00FC0D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CD7E99" w:rsidRDefault="00CD7E99" w:rsidP="00CD7E99">
      <w:pPr>
        <w:spacing w:after="120" w:line="256" w:lineRule="auto"/>
        <w:ind w:left="-6" w:hanging="11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jc w:val="center"/>
        <w:tblInd w:w="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</w:tbl>
    <w:p w:rsidR="00E17DB4" w:rsidRDefault="00E17DB4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Default="00393A7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Pr="00C01ECB" w:rsidRDefault="004240DD" w:rsidP="00F4383D">
      <w:pPr>
        <w:spacing w:after="0" w:line="259" w:lineRule="auto"/>
        <w:ind w:left="0" w:firstLine="0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788660" cy="3250565"/>
            <wp:effectExtent l="19050" t="0" r="2540" b="0"/>
            <wp:docPr id="1" name="Obrázok 0" descr="IMG_20200217_14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406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7B" w:rsidRPr="00C01ECB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D2"/>
    <w:multiLevelType w:val="hybridMultilevel"/>
    <w:tmpl w:val="189673E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>
    <w:nsid w:val="1FB646ED"/>
    <w:multiLevelType w:val="hybridMultilevel"/>
    <w:tmpl w:val="51BAD22A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48" w:hanging="360"/>
      </w:pPr>
    </w:lvl>
    <w:lvl w:ilvl="2" w:tplc="041B001B" w:tentative="1">
      <w:start w:val="1"/>
      <w:numFmt w:val="lowerRoman"/>
      <w:lvlText w:val="%3."/>
      <w:lvlJc w:val="right"/>
      <w:pPr>
        <w:ind w:left="2668" w:hanging="180"/>
      </w:pPr>
    </w:lvl>
    <w:lvl w:ilvl="3" w:tplc="041B000F" w:tentative="1">
      <w:start w:val="1"/>
      <w:numFmt w:val="decimal"/>
      <w:lvlText w:val="%4."/>
      <w:lvlJc w:val="left"/>
      <w:pPr>
        <w:ind w:left="3388" w:hanging="360"/>
      </w:pPr>
    </w:lvl>
    <w:lvl w:ilvl="4" w:tplc="041B0019" w:tentative="1">
      <w:start w:val="1"/>
      <w:numFmt w:val="lowerLetter"/>
      <w:lvlText w:val="%5."/>
      <w:lvlJc w:val="left"/>
      <w:pPr>
        <w:ind w:left="4108" w:hanging="360"/>
      </w:pPr>
    </w:lvl>
    <w:lvl w:ilvl="5" w:tplc="041B001B" w:tentative="1">
      <w:start w:val="1"/>
      <w:numFmt w:val="lowerRoman"/>
      <w:lvlText w:val="%6."/>
      <w:lvlJc w:val="right"/>
      <w:pPr>
        <w:ind w:left="4828" w:hanging="180"/>
      </w:pPr>
    </w:lvl>
    <w:lvl w:ilvl="6" w:tplc="041B000F" w:tentative="1">
      <w:start w:val="1"/>
      <w:numFmt w:val="decimal"/>
      <w:lvlText w:val="%7."/>
      <w:lvlJc w:val="left"/>
      <w:pPr>
        <w:ind w:left="5548" w:hanging="360"/>
      </w:pPr>
    </w:lvl>
    <w:lvl w:ilvl="7" w:tplc="041B0019" w:tentative="1">
      <w:start w:val="1"/>
      <w:numFmt w:val="lowerLetter"/>
      <w:lvlText w:val="%8."/>
      <w:lvlJc w:val="left"/>
      <w:pPr>
        <w:ind w:left="6268" w:hanging="360"/>
      </w:pPr>
    </w:lvl>
    <w:lvl w:ilvl="8" w:tplc="041B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">
    <w:nsid w:val="20615E04"/>
    <w:multiLevelType w:val="hybridMultilevel"/>
    <w:tmpl w:val="FB70AA50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5">
    <w:nsid w:val="269A1B5D"/>
    <w:multiLevelType w:val="hybridMultilevel"/>
    <w:tmpl w:val="AFD0654E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>
    <w:nsid w:val="2F587F81"/>
    <w:multiLevelType w:val="hybridMultilevel"/>
    <w:tmpl w:val="8996B9A0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>
    <w:nsid w:val="36C1583D"/>
    <w:multiLevelType w:val="multilevel"/>
    <w:tmpl w:val="A9A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77F5"/>
    <w:multiLevelType w:val="multilevel"/>
    <w:tmpl w:val="848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91283"/>
    <w:multiLevelType w:val="hybridMultilevel"/>
    <w:tmpl w:val="6436F298"/>
    <w:lvl w:ilvl="0" w:tplc="041B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>
    <w:nsid w:val="3F696630"/>
    <w:multiLevelType w:val="hybridMultilevel"/>
    <w:tmpl w:val="34C860B2"/>
    <w:lvl w:ilvl="0" w:tplc="F73C48E0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1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A0D56"/>
    <w:multiLevelType w:val="hybridMultilevel"/>
    <w:tmpl w:val="97808E92"/>
    <w:lvl w:ilvl="0" w:tplc="4836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6D5506"/>
    <w:multiLevelType w:val="multilevel"/>
    <w:tmpl w:val="328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E204D"/>
    <w:multiLevelType w:val="hybridMultilevel"/>
    <w:tmpl w:val="A84CF356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6">
    <w:nsid w:val="51ED35ED"/>
    <w:multiLevelType w:val="hybridMultilevel"/>
    <w:tmpl w:val="1E9CB41A"/>
    <w:lvl w:ilvl="0" w:tplc="042C696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6D785EEA"/>
    <w:multiLevelType w:val="multilevel"/>
    <w:tmpl w:val="DF7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91749"/>
    <w:multiLevelType w:val="hybridMultilevel"/>
    <w:tmpl w:val="10B07942"/>
    <w:lvl w:ilvl="0" w:tplc="041B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8"/>
  </w:num>
  <w:num w:numId="10">
    <w:abstractNumId w:val="16"/>
  </w:num>
  <w:num w:numId="11">
    <w:abstractNumId w:val="9"/>
  </w:num>
  <w:num w:numId="12">
    <w:abstractNumId w:val="13"/>
  </w:num>
  <w:num w:numId="13">
    <w:abstractNumId w:val="15"/>
  </w:num>
  <w:num w:numId="14">
    <w:abstractNumId w:val="17"/>
  </w:num>
  <w:num w:numId="15">
    <w:abstractNumId w:val="7"/>
  </w:num>
  <w:num w:numId="16">
    <w:abstractNumId w:val="14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1BC0"/>
    <w:rsid w:val="00003606"/>
    <w:rsid w:val="000052ED"/>
    <w:rsid w:val="00014F8E"/>
    <w:rsid w:val="00083772"/>
    <w:rsid w:val="000A526B"/>
    <w:rsid w:val="000B2944"/>
    <w:rsid w:val="000C226E"/>
    <w:rsid w:val="000D5B9A"/>
    <w:rsid w:val="0010382A"/>
    <w:rsid w:val="00127A9A"/>
    <w:rsid w:val="00133691"/>
    <w:rsid w:val="001513F4"/>
    <w:rsid w:val="00152627"/>
    <w:rsid w:val="00152B30"/>
    <w:rsid w:val="001561A8"/>
    <w:rsid w:val="001561B4"/>
    <w:rsid w:val="00160ADF"/>
    <w:rsid w:val="0016210F"/>
    <w:rsid w:val="0016222C"/>
    <w:rsid w:val="00177BB9"/>
    <w:rsid w:val="001925F7"/>
    <w:rsid w:val="00194347"/>
    <w:rsid w:val="00197718"/>
    <w:rsid w:val="001F35B7"/>
    <w:rsid w:val="00224883"/>
    <w:rsid w:val="00233124"/>
    <w:rsid w:val="002419A2"/>
    <w:rsid w:val="00243984"/>
    <w:rsid w:val="002478B6"/>
    <w:rsid w:val="00254876"/>
    <w:rsid w:val="00272103"/>
    <w:rsid w:val="00294036"/>
    <w:rsid w:val="002D35CD"/>
    <w:rsid w:val="002E4304"/>
    <w:rsid w:val="0030519C"/>
    <w:rsid w:val="00312EEB"/>
    <w:rsid w:val="00345A12"/>
    <w:rsid w:val="003504ED"/>
    <w:rsid w:val="00372E84"/>
    <w:rsid w:val="00374877"/>
    <w:rsid w:val="00381067"/>
    <w:rsid w:val="00387499"/>
    <w:rsid w:val="00393A7B"/>
    <w:rsid w:val="003A62D8"/>
    <w:rsid w:val="003A76FD"/>
    <w:rsid w:val="003D2760"/>
    <w:rsid w:val="003D7145"/>
    <w:rsid w:val="003E6155"/>
    <w:rsid w:val="003F28BC"/>
    <w:rsid w:val="003F4AD7"/>
    <w:rsid w:val="004046BA"/>
    <w:rsid w:val="00406F12"/>
    <w:rsid w:val="004240DD"/>
    <w:rsid w:val="0042582E"/>
    <w:rsid w:val="004616B7"/>
    <w:rsid w:val="00466D26"/>
    <w:rsid w:val="00490921"/>
    <w:rsid w:val="004C38A9"/>
    <w:rsid w:val="004D60B0"/>
    <w:rsid w:val="004E3DFA"/>
    <w:rsid w:val="004E44DE"/>
    <w:rsid w:val="004E7C4D"/>
    <w:rsid w:val="004E7E1D"/>
    <w:rsid w:val="004F0E4F"/>
    <w:rsid w:val="004F4EBE"/>
    <w:rsid w:val="00503819"/>
    <w:rsid w:val="00522E54"/>
    <w:rsid w:val="00523C55"/>
    <w:rsid w:val="00534209"/>
    <w:rsid w:val="00542E83"/>
    <w:rsid w:val="00583DCD"/>
    <w:rsid w:val="00591E17"/>
    <w:rsid w:val="005925FD"/>
    <w:rsid w:val="005B3D91"/>
    <w:rsid w:val="005C00E5"/>
    <w:rsid w:val="005E633D"/>
    <w:rsid w:val="005F4F0F"/>
    <w:rsid w:val="00634DEA"/>
    <w:rsid w:val="006449ED"/>
    <w:rsid w:val="0065440C"/>
    <w:rsid w:val="00661883"/>
    <w:rsid w:val="00665041"/>
    <w:rsid w:val="006662D1"/>
    <w:rsid w:val="00677BDB"/>
    <w:rsid w:val="00682903"/>
    <w:rsid w:val="006A584A"/>
    <w:rsid w:val="006B1B69"/>
    <w:rsid w:val="006B7E71"/>
    <w:rsid w:val="006D0BE6"/>
    <w:rsid w:val="006D1BA5"/>
    <w:rsid w:val="006E6A98"/>
    <w:rsid w:val="00714644"/>
    <w:rsid w:val="00717558"/>
    <w:rsid w:val="00720818"/>
    <w:rsid w:val="00732B96"/>
    <w:rsid w:val="007357DA"/>
    <w:rsid w:val="0073629D"/>
    <w:rsid w:val="007523E1"/>
    <w:rsid w:val="00772D84"/>
    <w:rsid w:val="00774E03"/>
    <w:rsid w:val="00781558"/>
    <w:rsid w:val="00787B8C"/>
    <w:rsid w:val="00791C87"/>
    <w:rsid w:val="007B3E85"/>
    <w:rsid w:val="007D2C56"/>
    <w:rsid w:val="007E6FD1"/>
    <w:rsid w:val="00806C8F"/>
    <w:rsid w:val="00833191"/>
    <w:rsid w:val="00843F3A"/>
    <w:rsid w:val="00864EF2"/>
    <w:rsid w:val="0086582E"/>
    <w:rsid w:val="0088270A"/>
    <w:rsid w:val="00886A13"/>
    <w:rsid w:val="008877FF"/>
    <w:rsid w:val="00892580"/>
    <w:rsid w:val="008C4533"/>
    <w:rsid w:val="008C4EC8"/>
    <w:rsid w:val="008D3B7A"/>
    <w:rsid w:val="008E37C6"/>
    <w:rsid w:val="009075F7"/>
    <w:rsid w:val="00946295"/>
    <w:rsid w:val="00953B0F"/>
    <w:rsid w:val="00985A7F"/>
    <w:rsid w:val="009876AF"/>
    <w:rsid w:val="009A064E"/>
    <w:rsid w:val="009B2B35"/>
    <w:rsid w:val="009C06F0"/>
    <w:rsid w:val="009C3E57"/>
    <w:rsid w:val="009C5182"/>
    <w:rsid w:val="00A03133"/>
    <w:rsid w:val="00A0450A"/>
    <w:rsid w:val="00A22BD2"/>
    <w:rsid w:val="00A27D61"/>
    <w:rsid w:val="00A522DA"/>
    <w:rsid w:val="00A565EB"/>
    <w:rsid w:val="00A66C70"/>
    <w:rsid w:val="00A752D2"/>
    <w:rsid w:val="00AB6ABE"/>
    <w:rsid w:val="00AD2A92"/>
    <w:rsid w:val="00AF2210"/>
    <w:rsid w:val="00AF308A"/>
    <w:rsid w:val="00AF73C4"/>
    <w:rsid w:val="00B366BB"/>
    <w:rsid w:val="00B40A16"/>
    <w:rsid w:val="00B4201F"/>
    <w:rsid w:val="00B51280"/>
    <w:rsid w:val="00B524E7"/>
    <w:rsid w:val="00B776AC"/>
    <w:rsid w:val="00B84E8F"/>
    <w:rsid w:val="00B917FA"/>
    <w:rsid w:val="00B92373"/>
    <w:rsid w:val="00BA597D"/>
    <w:rsid w:val="00BB0E08"/>
    <w:rsid w:val="00BB51B4"/>
    <w:rsid w:val="00BD1119"/>
    <w:rsid w:val="00BE46E2"/>
    <w:rsid w:val="00BF3AED"/>
    <w:rsid w:val="00C01ECB"/>
    <w:rsid w:val="00C211B3"/>
    <w:rsid w:val="00C239D2"/>
    <w:rsid w:val="00C403DE"/>
    <w:rsid w:val="00C638E3"/>
    <w:rsid w:val="00C96483"/>
    <w:rsid w:val="00CB2721"/>
    <w:rsid w:val="00CB5498"/>
    <w:rsid w:val="00CD270B"/>
    <w:rsid w:val="00CD7E99"/>
    <w:rsid w:val="00D032D0"/>
    <w:rsid w:val="00D51A9F"/>
    <w:rsid w:val="00D533F0"/>
    <w:rsid w:val="00D559A3"/>
    <w:rsid w:val="00D80128"/>
    <w:rsid w:val="00D82848"/>
    <w:rsid w:val="00D962DB"/>
    <w:rsid w:val="00DD35CE"/>
    <w:rsid w:val="00DE6468"/>
    <w:rsid w:val="00DE6B2A"/>
    <w:rsid w:val="00DE70B7"/>
    <w:rsid w:val="00E17DB4"/>
    <w:rsid w:val="00E42E4C"/>
    <w:rsid w:val="00E515E6"/>
    <w:rsid w:val="00E66CD1"/>
    <w:rsid w:val="00E74614"/>
    <w:rsid w:val="00E773E3"/>
    <w:rsid w:val="00E95698"/>
    <w:rsid w:val="00EC75F7"/>
    <w:rsid w:val="00ED79A9"/>
    <w:rsid w:val="00EE77A1"/>
    <w:rsid w:val="00EE7D6C"/>
    <w:rsid w:val="00F023BB"/>
    <w:rsid w:val="00F15B0A"/>
    <w:rsid w:val="00F4383D"/>
    <w:rsid w:val="00F51A30"/>
    <w:rsid w:val="00F53EE8"/>
    <w:rsid w:val="00F6090E"/>
    <w:rsid w:val="00F62748"/>
    <w:rsid w:val="00F81957"/>
    <w:rsid w:val="00F95830"/>
    <w:rsid w:val="00FC0D0B"/>
    <w:rsid w:val="00FC5AA9"/>
    <w:rsid w:val="00FD58E6"/>
    <w:rsid w:val="00FE260A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031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A7F"/>
    <w:rPr>
      <w:color w:val="954F72" w:themeColor="followedHyperlink"/>
      <w:u w:val="single"/>
    </w:rPr>
  </w:style>
  <w:style w:type="character" w:customStyle="1" w:styleId="a">
    <w:name w:val="_"/>
    <w:basedOn w:val="Predvolenpsmoodseku"/>
    <w:rsid w:val="00243984"/>
  </w:style>
  <w:style w:type="character" w:customStyle="1" w:styleId="ff1">
    <w:name w:val="ff1"/>
    <w:basedOn w:val="Predvolenpsmoodseku"/>
    <w:rsid w:val="00243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ocplayer.cz/566619-Zivoty-fyziku-v-ulohach-a-experimente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14</cp:revision>
  <cp:lastPrinted>2020-02-10T16:14:00Z</cp:lastPrinted>
  <dcterms:created xsi:type="dcterms:W3CDTF">2020-02-16T10:05:00Z</dcterms:created>
  <dcterms:modified xsi:type="dcterms:W3CDTF">2020-02-24T15:40:00Z</dcterms:modified>
</cp:coreProperties>
</file>